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31E5" w14:textId="77777777" w:rsidR="00A549E8" w:rsidRPr="00A6617A" w:rsidRDefault="003E2A06" w:rsidP="00A041D8">
      <w:pPr>
        <w:pStyle w:val="BodyText"/>
        <w:tabs>
          <w:tab w:val="left" w:pos="2165"/>
        </w:tabs>
        <w:ind w:left="2165" w:right="105"/>
      </w:pPr>
      <w:r w:rsidRPr="00A6617A">
        <w:rPr>
          <w:noProof/>
        </w:rPr>
        <w:drawing>
          <wp:inline distT="0" distB="0" distL="0" distR="0" wp14:anchorId="3BC4321F" wp14:editId="3BC43220">
            <wp:extent cx="3273938" cy="612648"/>
            <wp:effectExtent l="0" t="0" r="0" b="0"/>
            <wp:docPr id="1" name="Image 1">
              <a:extLst xmlns:a="http://schemas.openxmlformats.org/drawingml/2006/main">
                <a:ext uri="{FF2B5EF4-FFF2-40B4-BE49-F238E27FC236}">
                  <a16:creationId xmlns:a16="http://schemas.microsoft.com/office/drawing/2014/main" id="{245FE616-AA19-48A2-8FBB-A61A98358AE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273938" cy="612648"/>
                    </a:xfrm>
                    <a:prstGeom prst="rect">
                      <a:avLst/>
                    </a:prstGeom>
                  </pic:spPr>
                </pic:pic>
              </a:graphicData>
            </a:graphic>
          </wp:inline>
        </w:drawing>
      </w:r>
    </w:p>
    <w:p w14:paraId="3BC431E6" w14:textId="77777777" w:rsidR="00A549E8" w:rsidRPr="00A6617A" w:rsidRDefault="003E2A06">
      <w:pPr>
        <w:ind w:left="93" w:right="59"/>
        <w:jc w:val="center"/>
        <w:rPr>
          <w:b/>
          <w:sz w:val="24"/>
          <w:szCs w:val="24"/>
        </w:rPr>
      </w:pPr>
      <w:r w:rsidRPr="00A6617A">
        <w:rPr>
          <w:b/>
          <w:color w:val="44536A"/>
          <w:sz w:val="24"/>
          <w:szCs w:val="24"/>
        </w:rPr>
        <w:t>Institutional</w:t>
      </w:r>
      <w:r w:rsidRPr="00A6617A">
        <w:rPr>
          <w:b/>
          <w:color w:val="44536A"/>
          <w:spacing w:val="-5"/>
          <w:sz w:val="24"/>
          <w:szCs w:val="24"/>
        </w:rPr>
        <w:t xml:space="preserve"> </w:t>
      </w:r>
      <w:r w:rsidRPr="00A6617A">
        <w:rPr>
          <w:b/>
          <w:color w:val="44536A"/>
          <w:sz w:val="24"/>
          <w:szCs w:val="24"/>
        </w:rPr>
        <w:t>Animal</w:t>
      </w:r>
      <w:r w:rsidRPr="00A6617A">
        <w:rPr>
          <w:b/>
          <w:color w:val="44536A"/>
          <w:spacing w:val="-2"/>
          <w:sz w:val="24"/>
          <w:szCs w:val="24"/>
        </w:rPr>
        <w:t xml:space="preserve"> </w:t>
      </w:r>
      <w:r w:rsidRPr="00A6617A">
        <w:rPr>
          <w:b/>
          <w:color w:val="44536A"/>
          <w:sz w:val="24"/>
          <w:szCs w:val="24"/>
        </w:rPr>
        <w:t>Care</w:t>
      </w:r>
      <w:r w:rsidRPr="00A6617A">
        <w:rPr>
          <w:b/>
          <w:color w:val="44536A"/>
          <w:spacing w:val="-7"/>
          <w:sz w:val="24"/>
          <w:szCs w:val="24"/>
        </w:rPr>
        <w:t xml:space="preserve"> </w:t>
      </w:r>
      <w:r w:rsidRPr="00A6617A">
        <w:rPr>
          <w:b/>
          <w:color w:val="44536A"/>
          <w:sz w:val="24"/>
          <w:szCs w:val="24"/>
        </w:rPr>
        <w:t>&amp;</w:t>
      </w:r>
      <w:r w:rsidRPr="00A6617A">
        <w:rPr>
          <w:b/>
          <w:color w:val="44536A"/>
          <w:spacing w:val="-2"/>
          <w:sz w:val="24"/>
          <w:szCs w:val="24"/>
        </w:rPr>
        <w:t xml:space="preserve"> </w:t>
      </w:r>
      <w:r w:rsidRPr="00A6617A">
        <w:rPr>
          <w:b/>
          <w:color w:val="44536A"/>
          <w:sz w:val="24"/>
          <w:szCs w:val="24"/>
        </w:rPr>
        <w:t>Use</w:t>
      </w:r>
      <w:r w:rsidRPr="00A6617A">
        <w:rPr>
          <w:b/>
          <w:color w:val="44536A"/>
          <w:spacing w:val="-6"/>
          <w:sz w:val="24"/>
          <w:szCs w:val="24"/>
        </w:rPr>
        <w:t xml:space="preserve"> </w:t>
      </w:r>
      <w:r w:rsidRPr="00A6617A">
        <w:rPr>
          <w:b/>
          <w:color w:val="44536A"/>
          <w:spacing w:val="-2"/>
          <w:sz w:val="24"/>
          <w:szCs w:val="24"/>
        </w:rPr>
        <w:t>Committee</w:t>
      </w:r>
    </w:p>
    <w:p w14:paraId="3BC431EA" w14:textId="738F952D" w:rsidR="00A549E8" w:rsidRPr="00A6617A" w:rsidRDefault="00C33F5B">
      <w:pPr>
        <w:pStyle w:val="Title"/>
        <w:rPr>
          <w:sz w:val="24"/>
          <w:szCs w:val="24"/>
        </w:rPr>
      </w:pPr>
      <w:r w:rsidRPr="00C33F5B">
        <w:rPr>
          <w:color w:val="44536A"/>
          <w:sz w:val="24"/>
          <w:szCs w:val="24"/>
        </w:rPr>
        <w:t>Embryonated Avian Eggs in Research and Teaching</w:t>
      </w:r>
    </w:p>
    <w:p w14:paraId="3BC431EB" w14:textId="2C3867A3" w:rsidR="00A549E8" w:rsidRPr="002F3B43" w:rsidRDefault="003E2A06">
      <w:pPr>
        <w:pStyle w:val="ListParagraph"/>
        <w:numPr>
          <w:ilvl w:val="0"/>
          <w:numId w:val="4"/>
        </w:numPr>
        <w:tabs>
          <w:tab w:val="left" w:pos="831"/>
        </w:tabs>
        <w:spacing w:before="0"/>
        <w:jc w:val="left"/>
        <w:rPr>
          <w:sz w:val="24"/>
          <w:szCs w:val="24"/>
        </w:rPr>
      </w:pPr>
      <w:r w:rsidRPr="002F3B43">
        <w:rPr>
          <w:spacing w:val="-2"/>
          <w:sz w:val="24"/>
          <w:szCs w:val="24"/>
        </w:rPr>
        <w:t>Purpose</w:t>
      </w:r>
    </w:p>
    <w:p w14:paraId="3BC431EC" w14:textId="77777777" w:rsidR="00A549E8" w:rsidRPr="002F3B43" w:rsidRDefault="00A549E8">
      <w:pPr>
        <w:pStyle w:val="BodyText"/>
        <w:spacing w:before="5"/>
      </w:pPr>
    </w:p>
    <w:p w14:paraId="39A7DD63" w14:textId="5FEE9C4A" w:rsidR="00C33F5B" w:rsidRPr="002F3B43" w:rsidRDefault="002F3B43" w:rsidP="002F3B43">
      <w:pPr>
        <w:pStyle w:val="BodyText"/>
        <w:spacing w:before="5"/>
        <w:ind w:left="831"/>
      </w:pPr>
      <w:r w:rsidRPr="002F3B43">
        <w:rPr>
          <w:color w:val="333333"/>
          <w:shd w:val="clear" w:color="auto" w:fill="FFFFFF"/>
        </w:rPr>
        <w:t xml:space="preserve">Research and teaching activities using embryonated avian eggs require IACUC oversight under certain </w:t>
      </w:r>
      <w:r w:rsidR="00172D9E" w:rsidRPr="002F3B43">
        <w:rPr>
          <w:color w:val="333333"/>
          <w:shd w:val="clear" w:color="auto" w:fill="FFFFFF"/>
        </w:rPr>
        <w:t>circumstances and</w:t>
      </w:r>
      <w:r w:rsidRPr="002F3B43">
        <w:rPr>
          <w:color w:val="333333"/>
          <w:shd w:val="clear" w:color="auto" w:fill="FFFFFF"/>
        </w:rPr>
        <w:t xml:space="preserve"> always require humane euthanasia regardless of stage of development.</w:t>
      </w:r>
    </w:p>
    <w:p w14:paraId="3BC431EE" w14:textId="77777777" w:rsidR="00A549E8" w:rsidRPr="002F3B43" w:rsidRDefault="00A549E8">
      <w:pPr>
        <w:pStyle w:val="BodyText"/>
        <w:spacing w:before="3"/>
      </w:pPr>
    </w:p>
    <w:p w14:paraId="3BC431EF" w14:textId="77777777" w:rsidR="00A549E8" w:rsidRPr="002F3B43" w:rsidRDefault="003E2A06" w:rsidP="002F3B43">
      <w:pPr>
        <w:pStyle w:val="ListParagraph"/>
        <w:numPr>
          <w:ilvl w:val="0"/>
          <w:numId w:val="4"/>
        </w:numPr>
        <w:tabs>
          <w:tab w:val="left" w:pos="831"/>
        </w:tabs>
        <w:spacing w:before="0"/>
        <w:jc w:val="left"/>
        <w:rPr>
          <w:sz w:val="24"/>
          <w:szCs w:val="24"/>
        </w:rPr>
      </w:pPr>
      <w:r w:rsidRPr="002F3B43">
        <w:rPr>
          <w:spacing w:val="-2"/>
          <w:sz w:val="24"/>
          <w:szCs w:val="24"/>
        </w:rPr>
        <w:t>Scope</w:t>
      </w:r>
    </w:p>
    <w:p w14:paraId="3BC431F0" w14:textId="77777777" w:rsidR="00A549E8" w:rsidRPr="002F3B43" w:rsidRDefault="00A549E8" w:rsidP="002F3B43">
      <w:pPr>
        <w:pStyle w:val="BodyText"/>
        <w:spacing w:before="4"/>
        <w:ind w:left="178"/>
      </w:pPr>
    </w:p>
    <w:p w14:paraId="3BC431F2" w14:textId="7535B573" w:rsidR="00A549E8" w:rsidRPr="002F3B43" w:rsidRDefault="002F3B43" w:rsidP="002F3B43">
      <w:pPr>
        <w:pStyle w:val="BodyText"/>
        <w:spacing w:before="4"/>
        <w:ind w:left="831"/>
        <w:rPr>
          <w:color w:val="000000"/>
        </w:rPr>
      </w:pPr>
      <w:r w:rsidRPr="30FDC7B0">
        <w:rPr>
          <w:color w:val="000000" w:themeColor="text1"/>
        </w:rPr>
        <w:t>This policy applies to all</w:t>
      </w:r>
      <w:r w:rsidR="00172D9E" w:rsidRPr="30FDC7B0">
        <w:rPr>
          <w:color w:val="000000" w:themeColor="text1"/>
        </w:rPr>
        <w:t xml:space="preserve"> individuals </w:t>
      </w:r>
      <w:r w:rsidRPr="30FDC7B0">
        <w:rPr>
          <w:color w:val="000000" w:themeColor="text1"/>
        </w:rPr>
        <w:t>involved in the acquisition, incubation</w:t>
      </w:r>
      <w:r w:rsidR="03729C80" w:rsidRPr="30FDC7B0">
        <w:rPr>
          <w:color w:val="000000" w:themeColor="text1"/>
        </w:rPr>
        <w:t>,</w:t>
      </w:r>
      <w:r w:rsidR="00AA7D6F" w:rsidRPr="30FDC7B0">
        <w:rPr>
          <w:color w:val="000000" w:themeColor="text1"/>
        </w:rPr>
        <w:t xml:space="preserve"> </w:t>
      </w:r>
      <w:r w:rsidRPr="30FDC7B0">
        <w:rPr>
          <w:color w:val="000000" w:themeColor="text1"/>
        </w:rPr>
        <w:t>or disposition of embryonated avian eggs for research</w:t>
      </w:r>
      <w:r w:rsidR="00AA7D6F" w:rsidRPr="30FDC7B0">
        <w:rPr>
          <w:color w:val="000000" w:themeColor="text1"/>
        </w:rPr>
        <w:t xml:space="preserve"> or</w:t>
      </w:r>
      <w:r w:rsidRPr="30FDC7B0">
        <w:rPr>
          <w:color w:val="000000" w:themeColor="text1"/>
        </w:rPr>
        <w:t xml:space="preserve"> teachin</w:t>
      </w:r>
      <w:r w:rsidR="00AA7D6F" w:rsidRPr="30FDC7B0">
        <w:rPr>
          <w:color w:val="000000" w:themeColor="text1"/>
        </w:rPr>
        <w:t xml:space="preserve">g. </w:t>
      </w:r>
    </w:p>
    <w:p w14:paraId="7D2A9ABA" w14:textId="77777777" w:rsidR="002F3B43" w:rsidRPr="002F3B43" w:rsidRDefault="002F3B43" w:rsidP="002F3B43">
      <w:pPr>
        <w:pStyle w:val="BodyText"/>
        <w:spacing w:before="4"/>
        <w:ind w:left="831"/>
      </w:pPr>
    </w:p>
    <w:p w14:paraId="5EA4547F" w14:textId="20355507" w:rsidR="00C03293" w:rsidRPr="002F3B43" w:rsidRDefault="00C03293" w:rsidP="00C03293">
      <w:pPr>
        <w:pStyle w:val="ListParagraph"/>
        <w:numPr>
          <w:ilvl w:val="0"/>
          <w:numId w:val="4"/>
        </w:numPr>
        <w:tabs>
          <w:tab w:val="left" w:pos="831"/>
        </w:tabs>
        <w:spacing w:before="1"/>
        <w:ind w:hanging="627"/>
        <w:jc w:val="left"/>
        <w:rPr>
          <w:sz w:val="24"/>
          <w:szCs w:val="24"/>
        </w:rPr>
      </w:pPr>
      <w:r w:rsidRPr="002F3B43">
        <w:rPr>
          <w:spacing w:val="-2"/>
          <w:sz w:val="24"/>
          <w:szCs w:val="24"/>
        </w:rPr>
        <w:t>General Information</w:t>
      </w:r>
    </w:p>
    <w:p w14:paraId="0DE9FEB0" w14:textId="77777777" w:rsidR="00C03293" w:rsidRPr="002F3B43" w:rsidRDefault="00C03293" w:rsidP="00C03293">
      <w:pPr>
        <w:tabs>
          <w:tab w:val="left" w:pos="831"/>
        </w:tabs>
        <w:spacing w:before="1"/>
        <w:rPr>
          <w:sz w:val="24"/>
          <w:szCs w:val="24"/>
        </w:rPr>
      </w:pPr>
    </w:p>
    <w:p w14:paraId="28568204" w14:textId="41C7C69A" w:rsidR="00C03293" w:rsidRPr="002F3B43" w:rsidRDefault="00C03293" w:rsidP="002F3B43">
      <w:pPr>
        <w:tabs>
          <w:tab w:val="left" w:pos="831"/>
        </w:tabs>
        <w:spacing w:before="1"/>
        <w:ind w:left="831"/>
        <w:rPr>
          <w:color w:val="333333"/>
          <w:sz w:val="24"/>
          <w:szCs w:val="24"/>
          <w:shd w:val="clear" w:color="auto" w:fill="FFFFFF"/>
        </w:rPr>
      </w:pPr>
      <w:r w:rsidRPr="002F3B43">
        <w:rPr>
          <w:color w:val="333333"/>
          <w:sz w:val="24"/>
          <w:szCs w:val="24"/>
          <w:shd w:val="clear" w:color="auto" w:fill="FFFFFF"/>
        </w:rPr>
        <w:t>Avian embryos are not considered live animals by U.S. regulatory agencies</w:t>
      </w:r>
      <w:r w:rsidR="1D2EE7EC" w:rsidRPr="01E098D0">
        <w:rPr>
          <w:color w:val="333333"/>
          <w:sz w:val="24"/>
          <w:szCs w:val="24"/>
        </w:rPr>
        <w:t>, although</w:t>
      </w:r>
      <w:r w:rsidRPr="01E098D0">
        <w:rPr>
          <w:color w:val="333333"/>
          <w:sz w:val="24"/>
          <w:szCs w:val="24"/>
        </w:rPr>
        <w:t xml:space="preserve"> </w:t>
      </w:r>
      <w:r w:rsidR="00505E40">
        <w:rPr>
          <w:color w:val="333333"/>
          <w:sz w:val="24"/>
          <w:szCs w:val="24"/>
        </w:rPr>
        <w:t>Office of Laboratory Animal Welfare (</w:t>
      </w:r>
      <w:r w:rsidRPr="01E098D0">
        <w:rPr>
          <w:color w:val="333333"/>
          <w:sz w:val="24"/>
          <w:szCs w:val="24"/>
        </w:rPr>
        <w:t>OLAW</w:t>
      </w:r>
      <w:r w:rsidR="00505E40">
        <w:rPr>
          <w:color w:val="333333"/>
          <w:sz w:val="24"/>
          <w:szCs w:val="24"/>
        </w:rPr>
        <w:t>)</w:t>
      </w:r>
      <w:r w:rsidRPr="01E098D0">
        <w:rPr>
          <w:color w:val="333333"/>
          <w:sz w:val="24"/>
          <w:szCs w:val="24"/>
        </w:rPr>
        <w:t xml:space="preserve"> expects institutions to have policies and procedures in place that address the care or euthanasia of animals that hatch unexpectedly. Consequently, the IACUC has adopted the following guidelines for all avian species, requiring an IACUC protocol for work involving embryos at or beyond 75% of each </w:t>
      </w:r>
      <w:r w:rsidR="4B2685DF" w:rsidRPr="01E098D0">
        <w:rPr>
          <w:color w:val="333333"/>
          <w:sz w:val="24"/>
          <w:szCs w:val="24"/>
        </w:rPr>
        <w:t>species'</w:t>
      </w:r>
      <w:r w:rsidRPr="01E098D0">
        <w:rPr>
          <w:color w:val="333333"/>
          <w:sz w:val="24"/>
          <w:szCs w:val="24"/>
        </w:rPr>
        <w:t xml:space="preserve"> expected incubation period. Domestic chicken embryos, which hatch in approximately 21 days, are considered the model species. If other avian species are used, the guidelines should be adjusted based on </w:t>
      </w:r>
      <w:r w:rsidR="0AF7363B" w:rsidRPr="01E098D0">
        <w:rPr>
          <w:color w:val="333333"/>
          <w:sz w:val="24"/>
          <w:szCs w:val="24"/>
        </w:rPr>
        <w:t>r</w:t>
      </w:r>
      <w:r w:rsidRPr="01E098D0">
        <w:rPr>
          <w:color w:val="333333"/>
          <w:sz w:val="24"/>
          <w:szCs w:val="24"/>
        </w:rPr>
        <w:t>elative time to hatch for that species.</w:t>
      </w:r>
    </w:p>
    <w:p w14:paraId="22031FD3" w14:textId="77777777" w:rsidR="00C03293" w:rsidRPr="002F3B43" w:rsidRDefault="00C03293" w:rsidP="00C03293">
      <w:pPr>
        <w:tabs>
          <w:tab w:val="left" w:pos="831"/>
        </w:tabs>
        <w:spacing w:before="1"/>
        <w:ind w:left="720"/>
        <w:rPr>
          <w:color w:val="333333"/>
          <w:sz w:val="24"/>
          <w:szCs w:val="24"/>
          <w:shd w:val="clear" w:color="auto" w:fill="FFFFFF"/>
        </w:rPr>
      </w:pPr>
    </w:p>
    <w:p w14:paraId="3D705462" w14:textId="060D93EF" w:rsidR="00C03293" w:rsidRPr="002F3B43" w:rsidRDefault="002F3B43" w:rsidP="00C03293">
      <w:pPr>
        <w:pStyle w:val="ListParagraph"/>
        <w:numPr>
          <w:ilvl w:val="0"/>
          <w:numId w:val="4"/>
        </w:numPr>
        <w:tabs>
          <w:tab w:val="left" w:pos="831"/>
        </w:tabs>
        <w:spacing w:before="1"/>
        <w:jc w:val="left"/>
        <w:rPr>
          <w:color w:val="333333"/>
          <w:sz w:val="24"/>
          <w:szCs w:val="24"/>
          <w:shd w:val="clear" w:color="auto" w:fill="FFFFFF"/>
        </w:rPr>
      </w:pPr>
      <w:r w:rsidRPr="002F3B43">
        <w:rPr>
          <w:color w:val="333333"/>
          <w:sz w:val="24"/>
          <w:szCs w:val="24"/>
          <w:shd w:val="clear" w:color="auto" w:fill="FFFFFF"/>
        </w:rPr>
        <w:t>Guidance</w:t>
      </w:r>
    </w:p>
    <w:p w14:paraId="33BE0E9C" w14:textId="5910F037" w:rsidR="00C03293" w:rsidRPr="00C03293" w:rsidRDefault="00C03293" w:rsidP="01E098D0">
      <w:pPr>
        <w:widowControl/>
        <w:autoSpaceDE/>
        <w:autoSpaceDN/>
        <w:spacing w:before="100" w:beforeAutospacing="1" w:after="100" w:afterAutospacing="1"/>
        <w:ind w:left="831"/>
        <w:rPr>
          <w:rFonts w:eastAsia="Times New Roman"/>
          <w:color w:val="333333"/>
          <w:sz w:val="24"/>
          <w:szCs w:val="24"/>
        </w:rPr>
      </w:pPr>
      <w:r w:rsidRPr="26BBA7E9">
        <w:rPr>
          <w:rFonts w:eastAsia="Times New Roman"/>
          <w:color w:val="333333"/>
          <w:sz w:val="24"/>
          <w:szCs w:val="24"/>
        </w:rPr>
        <w:t xml:space="preserve">The IACUC requires submission of a complete animal use protocol for projects utilizing pre-hatched avian embryos at or beyond 75% of each species' expected incubation period </w:t>
      </w:r>
      <w:r w:rsidR="00F676CB" w:rsidRPr="26BBA7E9">
        <w:rPr>
          <w:rFonts w:eastAsia="Times New Roman"/>
          <w:color w:val="333333"/>
          <w:sz w:val="24"/>
          <w:szCs w:val="24"/>
        </w:rPr>
        <w:t>(</w:t>
      </w:r>
      <w:r w:rsidRPr="26BBA7E9">
        <w:rPr>
          <w:rFonts w:eastAsia="Times New Roman"/>
          <w:color w:val="333333"/>
          <w:sz w:val="24"/>
          <w:szCs w:val="24"/>
        </w:rPr>
        <w:t>e.g., chicken eggs on or after embryonic day 1</w:t>
      </w:r>
      <w:r w:rsidR="406CCC8C" w:rsidRPr="26BBA7E9">
        <w:rPr>
          <w:rFonts w:eastAsia="Times New Roman"/>
          <w:color w:val="333333"/>
          <w:sz w:val="24"/>
          <w:szCs w:val="24"/>
        </w:rPr>
        <w:t>5</w:t>
      </w:r>
      <w:r w:rsidR="00F676CB" w:rsidRPr="26BBA7E9">
        <w:rPr>
          <w:rFonts w:eastAsia="Times New Roman"/>
          <w:color w:val="333333"/>
          <w:sz w:val="24"/>
          <w:szCs w:val="24"/>
        </w:rPr>
        <w:t>)</w:t>
      </w:r>
      <w:r w:rsidRPr="26BBA7E9">
        <w:rPr>
          <w:rFonts w:eastAsia="Times New Roman"/>
          <w:color w:val="333333"/>
          <w:sz w:val="24"/>
          <w:szCs w:val="24"/>
        </w:rPr>
        <w:t>, and any use of embryonated eggs that will subsequently be allowed to hatch.</w:t>
      </w:r>
    </w:p>
    <w:p w14:paraId="18651333" w14:textId="03C13A2D" w:rsidR="00C03293" w:rsidRPr="002F3B43" w:rsidRDefault="00C03293" w:rsidP="002F3B43">
      <w:pPr>
        <w:pStyle w:val="ListParagraph"/>
        <w:numPr>
          <w:ilvl w:val="0"/>
          <w:numId w:val="4"/>
        </w:numPr>
        <w:tabs>
          <w:tab w:val="left" w:pos="831"/>
        </w:tabs>
        <w:spacing w:before="1"/>
        <w:jc w:val="left"/>
        <w:rPr>
          <w:color w:val="333333"/>
          <w:sz w:val="24"/>
          <w:szCs w:val="24"/>
          <w:shd w:val="clear" w:color="auto" w:fill="FFFFFF"/>
        </w:rPr>
      </w:pPr>
      <w:r w:rsidRPr="002F3B43">
        <w:rPr>
          <w:color w:val="333333"/>
          <w:sz w:val="24"/>
          <w:szCs w:val="24"/>
          <w:shd w:val="clear" w:color="auto" w:fill="FFFFFF"/>
        </w:rPr>
        <w:t>Exceptions</w:t>
      </w:r>
    </w:p>
    <w:p w14:paraId="3BC431F4" w14:textId="77777777" w:rsidR="00A549E8" w:rsidRPr="002F3B43" w:rsidRDefault="00A549E8" w:rsidP="00172D9E">
      <w:pPr>
        <w:pStyle w:val="BodyText"/>
        <w:spacing w:before="2"/>
        <w:ind w:left="831"/>
      </w:pPr>
    </w:p>
    <w:p w14:paraId="15DEF45D" w14:textId="7575A829" w:rsidR="00C03293" w:rsidRPr="002F3B43" w:rsidRDefault="00C03293" w:rsidP="0035599E">
      <w:pPr>
        <w:pStyle w:val="p1"/>
        <w:ind w:left="1191"/>
        <w:rPr>
          <w:sz w:val="24"/>
          <w:szCs w:val="24"/>
        </w:rPr>
      </w:pPr>
      <w:r w:rsidRPr="6F3A5351">
        <w:rPr>
          <w:sz w:val="24"/>
          <w:szCs w:val="24"/>
        </w:rPr>
        <w:t>Chicken embryos less than 1</w:t>
      </w:r>
      <w:r w:rsidR="002632AE" w:rsidRPr="6F3A5351">
        <w:rPr>
          <w:sz w:val="24"/>
          <w:szCs w:val="24"/>
        </w:rPr>
        <w:t>5</w:t>
      </w:r>
      <w:r w:rsidRPr="6F3A5351">
        <w:rPr>
          <w:sz w:val="24"/>
          <w:szCs w:val="24"/>
        </w:rPr>
        <w:t xml:space="preserve"> days of gestation are not considered live </w:t>
      </w:r>
      <w:r w:rsidR="272452C3" w:rsidRPr="6F3A5351">
        <w:rPr>
          <w:sz w:val="24"/>
          <w:szCs w:val="24"/>
        </w:rPr>
        <w:t>animals,</w:t>
      </w:r>
      <w:r w:rsidRPr="6F3A5351">
        <w:rPr>
          <w:sz w:val="24"/>
          <w:szCs w:val="24"/>
        </w:rPr>
        <w:t xml:space="preserve"> and their use is not subject to IACUC review. Investigators planning to use chicken embryos of 15 days of age or younger should provide the following information to the IACUC.</w:t>
      </w:r>
    </w:p>
    <w:p w14:paraId="7527BF7D" w14:textId="77777777" w:rsidR="00C03293" w:rsidRPr="002F3B43" w:rsidRDefault="00C03293" w:rsidP="0035599E">
      <w:pPr>
        <w:pStyle w:val="p1"/>
        <w:ind w:left="1911"/>
        <w:rPr>
          <w:sz w:val="24"/>
          <w:szCs w:val="24"/>
        </w:rPr>
      </w:pPr>
    </w:p>
    <w:p w14:paraId="25516263" w14:textId="17BE40CB" w:rsidR="00C03293" w:rsidRPr="002F3B43" w:rsidRDefault="00C03293" w:rsidP="0035599E">
      <w:pPr>
        <w:pStyle w:val="p1"/>
        <w:numPr>
          <w:ilvl w:val="0"/>
          <w:numId w:val="3"/>
        </w:numPr>
        <w:tabs>
          <w:tab w:val="clear" w:pos="720"/>
          <w:tab w:val="num" w:pos="1911"/>
        </w:tabs>
        <w:ind w:left="1911"/>
        <w:rPr>
          <w:sz w:val="24"/>
          <w:szCs w:val="24"/>
        </w:rPr>
      </w:pPr>
      <w:r w:rsidRPr="002F3B43">
        <w:rPr>
          <w:sz w:val="24"/>
          <w:szCs w:val="24"/>
        </w:rPr>
        <w:t>Justification for the use of embryos.</w:t>
      </w:r>
    </w:p>
    <w:p w14:paraId="3E383832" w14:textId="0775BFF3" w:rsidR="00C03293" w:rsidRPr="002F3B43" w:rsidRDefault="00C03293" w:rsidP="0035599E">
      <w:pPr>
        <w:pStyle w:val="p1"/>
        <w:numPr>
          <w:ilvl w:val="0"/>
          <w:numId w:val="3"/>
        </w:numPr>
        <w:tabs>
          <w:tab w:val="clear" w:pos="720"/>
          <w:tab w:val="num" w:pos="1911"/>
        </w:tabs>
        <w:ind w:left="1911"/>
        <w:rPr>
          <w:sz w:val="24"/>
          <w:szCs w:val="24"/>
        </w:rPr>
      </w:pPr>
      <w:r w:rsidRPr="002F3B43">
        <w:rPr>
          <w:sz w:val="24"/>
          <w:szCs w:val="24"/>
        </w:rPr>
        <w:t>A statement of the age of embryos that will be used.</w:t>
      </w:r>
    </w:p>
    <w:p w14:paraId="0DD0B3E7" w14:textId="1CD6D934" w:rsidR="00C03293" w:rsidRPr="002F3B43" w:rsidRDefault="00C03293" w:rsidP="0035599E">
      <w:pPr>
        <w:pStyle w:val="p1"/>
        <w:numPr>
          <w:ilvl w:val="0"/>
          <w:numId w:val="3"/>
        </w:numPr>
        <w:tabs>
          <w:tab w:val="clear" w:pos="720"/>
          <w:tab w:val="num" w:pos="1911"/>
        </w:tabs>
        <w:ind w:left="1911"/>
        <w:rPr>
          <w:sz w:val="24"/>
          <w:szCs w:val="24"/>
        </w:rPr>
      </w:pPr>
      <w:r w:rsidRPr="002F3B43">
        <w:rPr>
          <w:sz w:val="24"/>
          <w:szCs w:val="24"/>
        </w:rPr>
        <w:t>Where the embryos will be used and who will work with them.</w:t>
      </w:r>
    </w:p>
    <w:p w14:paraId="1A926150" w14:textId="6D9B519D" w:rsidR="00C03293" w:rsidRPr="002F3B43" w:rsidRDefault="00C03293" w:rsidP="0035599E">
      <w:pPr>
        <w:pStyle w:val="p1"/>
        <w:numPr>
          <w:ilvl w:val="0"/>
          <w:numId w:val="3"/>
        </w:numPr>
        <w:tabs>
          <w:tab w:val="clear" w:pos="720"/>
          <w:tab w:val="num" w:pos="1911"/>
        </w:tabs>
        <w:ind w:left="1911"/>
        <w:rPr>
          <w:sz w:val="24"/>
          <w:szCs w:val="24"/>
        </w:rPr>
      </w:pPr>
      <w:r w:rsidRPr="002F3B43">
        <w:rPr>
          <w:sz w:val="24"/>
          <w:szCs w:val="24"/>
        </w:rPr>
        <w:t>Where the eggs will be obtained.</w:t>
      </w:r>
    </w:p>
    <w:p w14:paraId="7CABFCF8" w14:textId="78221C72" w:rsidR="00C03293" w:rsidRPr="002F3B43" w:rsidRDefault="017737EA" w:rsidP="0035599E">
      <w:pPr>
        <w:pStyle w:val="p1"/>
        <w:numPr>
          <w:ilvl w:val="0"/>
          <w:numId w:val="3"/>
        </w:numPr>
        <w:tabs>
          <w:tab w:val="clear" w:pos="720"/>
          <w:tab w:val="num" w:pos="1911"/>
        </w:tabs>
        <w:ind w:left="1911"/>
        <w:rPr>
          <w:sz w:val="24"/>
          <w:szCs w:val="24"/>
        </w:rPr>
      </w:pPr>
      <w:r w:rsidRPr="4AB29C60">
        <w:rPr>
          <w:sz w:val="24"/>
          <w:szCs w:val="24"/>
        </w:rPr>
        <w:t xml:space="preserve">Euthanasia method for embryos ≤15 </w:t>
      </w:r>
      <w:r w:rsidR="6DE1EB3C" w:rsidRPr="4AB29C60">
        <w:rPr>
          <w:sz w:val="24"/>
          <w:szCs w:val="24"/>
        </w:rPr>
        <w:t xml:space="preserve">days </w:t>
      </w:r>
      <w:r w:rsidRPr="4AB29C60">
        <w:rPr>
          <w:sz w:val="24"/>
          <w:szCs w:val="24"/>
        </w:rPr>
        <w:t xml:space="preserve">gestation. </w:t>
      </w:r>
    </w:p>
    <w:p w14:paraId="64837AEB" w14:textId="2B031A4C" w:rsidR="00C56D08" w:rsidRDefault="017737EA" w:rsidP="00C56D08">
      <w:pPr>
        <w:pStyle w:val="p1"/>
        <w:numPr>
          <w:ilvl w:val="0"/>
          <w:numId w:val="3"/>
        </w:numPr>
        <w:tabs>
          <w:tab w:val="clear" w:pos="720"/>
          <w:tab w:val="num" w:pos="1911"/>
        </w:tabs>
        <w:ind w:left="1911"/>
        <w:rPr>
          <w:sz w:val="24"/>
          <w:szCs w:val="24"/>
        </w:rPr>
      </w:pPr>
      <w:r w:rsidRPr="4AB29C60">
        <w:rPr>
          <w:sz w:val="24"/>
          <w:szCs w:val="24"/>
        </w:rPr>
        <w:t>A statement that the IACUC will be informed if any embryos accidentally hatch.</w:t>
      </w:r>
      <w:r w:rsidR="2F34EF70" w:rsidRPr="4AB29C60">
        <w:rPr>
          <w:sz w:val="24"/>
          <w:szCs w:val="24"/>
        </w:rPr>
        <w:t xml:space="preserve"> </w:t>
      </w:r>
    </w:p>
    <w:p w14:paraId="7CE991D9" w14:textId="73F3D199" w:rsidR="00C56D08" w:rsidRDefault="2F34EF70" w:rsidP="01E098D0">
      <w:pPr>
        <w:pStyle w:val="p1"/>
        <w:numPr>
          <w:ilvl w:val="0"/>
          <w:numId w:val="3"/>
        </w:numPr>
        <w:tabs>
          <w:tab w:val="clear" w:pos="720"/>
          <w:tab w:val="num" w:pos="1911"/>
        </w:tabs>
        <w:ind w:left="1911"/>
        <w:rPr>
          <w:color w:val="333333"/>
          <w:sz w:val="24"/>
          <w:szCs w:val="24"/>
        </w:rPr>
      </w:pPr>
      <w:r w:rsidRPr="01E098D0">
        <w:rPr>
          <w:sz w:val="24"/>
          <w:szCs w:val="24"/>
        </w:rPr>
        <w:t>Euthanasia method for accidental hatching embryos</w:t>
      </w:r>
      <w:r w:rsidR="5E91EE8F" w:rsidRPr="01E098D0">
        <w:rPr>
          <w:sz w:val="24"/>
          <w:szCs w:val="24"/>
        </w:rPr>
        <w:t xml:space="preserve"> consistent with </w:t>
      </w:r>
      <w:r w:rsidR="5E91EE8F" w:rsidRPr="01E098D0">
        <w:rPr>
          <w:color w:val="333333"/>
          <w:sz w:val="24"/>
          <w:szCs w:val="24"/>
        </w:rPr>
        <w:t> </w:t>
      </w:r>
      <w:hyperlink r:id="rId11" w:history="1">
        <w:r w:rsidR="5E91EE8F" w:rsidRPr="01E098D0">
          <w:rPr>
            <w:color w:val="0000FF"/>
            <w:sz w:val="24"/>
            <w:szCs w:val="24"/>
            <w:u w:val="single"/>
          </w:rPr>
          <w:t>AVMA Guidelines on Euthanasia</w:t>
        </w:r>
      </w:hyperlink>
      <w:r w:rsidR="5E91EE8F" w:rsidRPr="01E098D0">
        <w:rPr>
          <w:color w:val="333333"/>
          <w:sz w:val="24"/>
          <w:szCs w:val="24"/>
        </w:rPr>
        <w:t>.</w:t>
      </w:r>
    </w:p>
    <w:p w14:paraId="473D2970" w14:textId="76CF3AA4" w:rsidR="00C56D08" w:rsidRDefault="00C56D08" w:rsidP="008F6A73">
      <w:pPr>
        <w:pStyle w:val="p1"/>
        <w:tabs>
          <w:tab w:val="num" w:pos="1911"/>
        </w:tabs>
        <w:ind w:left="1440"/>
        <w:rPr>
          <w:sz w:val="24"/>
          <w:szCs w:val="24"/>
        </w:rPr>
      </w:pPr>
    </w:p>
    <w:p w14:paraId="3BC4321E" w14:textId="106B977D" w:rsidR="00A549E8" w:rsidRPr="00C56D08" w:rsidRDefault="00A549E8" w:rsidP="00ED3B71">
      <w:pPr>
        <w:pStyle w:val="p1"/>
        <w:tabs>
          <w:tab w:val="num" w:pos="1911"/>
        </w:tabs>
        <w:ind w:left="1911"/>
        <w:rPr>
          <w:sz w:val="24"/>
          <w:szCs w:val="24"/>
        </w:rPr>
      </w:pPr>
    </w:p>
    <w:p w14:paraId="43166C2A" w14:textId="77777777" w:rsidR="002F3B43" w:rsidRPr="002F3B43" w:rsidRDefault="002F3B43" w:rsidP="00172D9E">
      <w:pPr>
        <w:pStyle w:val="p1"/>
        <w:ind w:left="111"/>
        <w:rPr>
          <w:sz w:val="24"/>
          <w:szCs w:val="24"/>
        </w:rPr>
      </w:pPr>
    </w:p>
    <w:sectPr w:rsidR="002F3B43" w:rsidRPr="002F3B43">
      <w:headerReference w:type="even" r:id="rId12"/>
      <w:headerReference w:type="default" r:id="rId13"/>
      <w:footerReference w:type="even" r:id="rId14"/>
      <w:footerReference w:type="default" r:id="rId15"/>
      <w:headerReference w:type="first" r:id="rId16"/>
      <w:footerReference w:type="first" r:id="rId17"/>
      <w:pgSz w:w="12240" w:h="15840"/>
      <w:pgMar w:top="1360" w:right="136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B24A" w14:textId="77777777" w:rsidR="008B5D1C" w:rsidRDefault="008B5D1C">
      <w:r>
        <w:separator/>
      </w:r>
    </w:p>
  </w:endnote>
  <w:endnote w:type="continuationSeparator" w:id="0">
    <w:p w14:paraId="45C38631" w14:textId="77777777" w:rsidR="008B5D1C" w:rsidRDefault="008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D2B0" w14:textId="77777777" w:rsidR="008F2A91" w:rsidRDefault="008F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2EE5" w14:textId="540DEFDB" w:rsidR="09D60490" w:rsidRDefault="4AB29C60" w:rsidP="09D60490">
    <w:pPr>
      <w:rPr>
        <w:color w:val="000000" w:themeColor="text1"/>
      </w:rPr>
    </w:pPr>
    <w:r w:rsidRPr="4AB29C60">
      <w:rPr>
        <w:color w:val="000000" w:themeColor="text1"/>
      </w:rPr>
      <w:t>IACUC Approval Date:</w:t>
    </w:r>
    <w:r w:rsidR="008F2A91">
      <w:rPr>
        <w:color w:val="000000" w:themeColor="text1"/>
      </w:rPr>
      <w:t xml:space="preserve"> 6/24/2026</w:t>
    </w:r>
    <w:r w:rsidRPr="4AB29C60">
      <w:rPr>
        <w:color w:val="000000" w:themeColor="text1"/>
      </w:rPr>
      <w:t xml:space="preserve">  </w:t>
    </w:r>
  </w:p>
  <w:p w14:paraId="45DB4B56" w14:textId="1553058F" w:rsidR="09D60490" w:rsidRDefault="4AB29C60" w:rsidP="09D60490">
    <w:pPr>
      <w:rPr>
        <w:color w:val="000000" w:themeColor="text1"/>
      </w:rPr>
    </w:pPr>
    <w:r w:rsidRPr="4AB29C60">
      <w:rPr>
        <w:color w:val="000000" w:themeColor="text1"/>
      </w:rPr>
      <w:t>Review Date:</w:t>
    </w:r>
    <w:r w:rsidR="008F2A91">
      <w:rPr>
        <w:color w:val="000000" w:themeColor="text1"/>
      </w:rPr>
      <w:t>6/24/2026</w:t>
    </w:r>
  </w:p>
  <w:p w14:paraId="66AB5CB3" w14:textId="0D297BC5" w:rsidR="09D60490" w:rsidRDefault="4AB29C60" w:rsidP="09D60490">
    <w:pPr>
      <w:rPr>
        <w:color w:val="000000" w:themeColor="text1"/>
      </w:rPr>
    </w:pPr>
    <w:r w:rsidRPr="4AB29C60">
      <w:rPr>
        <w:color w:val="000000" w:themeColor="text1"/>
      </w:rPr>
      <w:t>Issue Date:</w:t>
    </w:r>
    <w:r w:rsidR="008F2A91">
      <w:rPr>
        <w:color w:val="000000" w:themeColor="text1"/>
      </w:rPr>
      <w:t>6/30/2026</w:t>
    </w:r>
  </w:p>
  <w:p w14:paraId="38B34714" w14:textId="052E6F6C" w:rsidR="09D60490" w:rsidRDefault="09D60490" w:rsidP="09D60490">
    <w:pPr>
      <w:rPr>
        <w:color w:val="000000" w:themeColor="text1"/>
      </w:rPr>
    </w:pPr>
  </w:p>
  <w:p w14:paraId="7ECDF682" w14:textId="5E67BEC6" w:rsidR="09D60490" w:rsidRDefault="09D60490" w:rsidP="09D60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4825" w14:textId="77777777" w:rsidR="008F2A91" w:rsidRDefault="008F2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1252" w14:textId="77777777" w:rsidR="008B5D1C" w:rsidRDefault="008B5D1C">
      <w:r>
        <w:separator/>
      </w:r>
    </w:p>
  </w:footnote>
  <w:footnote w:type="continuationSeparator" w:id="0">
    <w:p w14:paraId="38E84470" w14:textId="77777777" w:rsidR="008B5D1C" w:rsidRDefault="008B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A22C" w14:textId="77777777" w:rsidR="008F2A91" w:rsidRDefault="008F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5968" w14:textId="7CFA2287" w:rsidR="030F3726" w:rsidRDefault="030F37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6580" w14:textId="77777777" w:rsidR="008F2A91" w:rsidRDefault="008F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FA2"/>
    <w:multiLevelType w:val="multilevel"/>
    <w:tmpl w:val="B66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F6AA4"/>
    <w:multiLevelType w:val="hybridMultilevel"/>
    <w:tmpl w:val="CD7234C0"/>
    <w:lvl w:ilvl="0" w:tplc="235AB256">
      <w:start w:val="1"/>
      <w:numFmt w:val="lowerLetter"/>
      <w:lvlText w:val="%1."/>
      <w:lvlJc w:val="left"/>
      <w:pPr>
        <w:ind w:left="2002" w:hanging="452"/>
      </w:pPr>
      <w:rPr>
        <w:rFonts w:ascii="Arial" w:eastAsia="Arial" w:hAnsi="Arial" w:cs="Arial" w:hint="default"/>
        <w:b w:val="0"/>
        <w:bCs w:val="0"/>
        <w:i w:val="0"/>
        <w:iCs w:val="0"/>
        <w:spacing w:val="0"/>
        <w:w w:val="100"/>
        <w:sz w:val="24"/>
        <w:szCs w:val="24"/>
        <w:lang w:val="en-US" w:eastAsia="en-US" w:bidi="ar-SA"/>
      </w:rPr>
    </w:lvl>
    <w:lvl w:ilvl="1" w:tplc="36EA0388">
      <w:start w:val="1"/>
      <w:numFmt w:val="decimal"/>
      <w:lvlText w:val="%2)"/>
      <w:lvlJc w:val="left"/>
      <w:pPr>
        <w:ind w:left="2631" w:hanging="629"/>
      </w:pPr>
      <w:rPr>
        <w:rFonts w:ascii="Arial" w:eastAsia="Arial" w:hAnsi="Arial" w:cs="Arial" w:hint="default"/>
        <w:b w:val="0"/>
        <w:bCs w:val="0"/>
        <w:i w:val="0"/>
        <w:iCs w:val="0"/>
        <w:spacing w:val="0"/>
        <w:w w:val="100"/>
        <w:sz w:val="24"/>
        <w:szCs w:val="24"/>
        <w:lang w:val="en-US" w:eastAsia="en-US" w:bidi="ar-SA"/>
      </w:rPr>
    </w:lvl>
    <w:lvl w:ilvl="2" w:tplc="BA60903E">
      <w:numFmt w:val="bullet"/>
      <w:lvlText w:val="•"/>
      <w:lvlJc w:val="left"/>
      <w:pPr>
        <w:ind w:left="3397" w:hanging="629"/>
      </w:pPr>
      <w:rPr>
        <w:rFonts w:hint="default"/>
        <w:lang w:val="en-US" w:eastAsia="en-US" w:bidi="ar-SA"/>
      </w:rPr>
    </w:lvl>
    <w:lvl w:ilvl="3" w:tplc="2A9ADEB0">
      <w:numFmt w:val="bullet"/>
      <w:lvlText w:val="•"/>
      <w:lvlJc w:val="left"/>
      <w:pPr>
        <w:ind w:left="4155" w:hanging="629"/>
      </w:pPr>
      <w:rPr>
        <w:rFonts w:hint="default"/>
        <w:lang w:val="en-US" w:eastAsia="en-US" w:bidi="ar-SA"/>
      </w:rPr>
    </w:lvl>
    <w:lvl w:ilvl="4" w:tplc="AC7A511C">
      <w:numFmt w:val="bullet"/>
      <w:lvlText w:val="•"/>
      <w:lvlJc w:val="left"/>
      <w:pPr>
        <w:ind w:left="4913" w:hanging="629"/>
      </w:pPr>
      <w:rPr>
        <w:rFonts w:hint="default"/>
        <w:lang w:val="en-US" w:eastAsia="en-US" w:bidi="ar-SA"/>
      </w:rPr>
    </w:lvl>
    <w:lvl w:ilvl="5" w:tplc="196EFBA6">
      <w:numFmt w:val="bullet"/>
      <w:lvlText w:val="•"/>
      <w:lvlJc w:val="left"/>
      <w:pPr>
        <w:ind w:left="5671" w:hanging="629"/>
      </w:pPr>
      <w:rPr>
        <w:rFonts w:hint="default"/>
        <w:lang w:val="en-US" w:eastAsia="en-US" w:bidi="ar-SA"/>
      </w:rPr>
    </w:lvl>
    <w:lvl w:ilvl="6" w:tplc="C97C1A58">
      <w:numFmt w:val="bullet"/>
      <w:lvlText w:val="•"/>
      <w:lvlJc w:val="left"/>
      <w:pPr>
        <w:ind w:left="6428" w:hanging="629"/>
      </w:pPr>
      <w:rPr>
        <w:rFonts w:hint="default"/>
        <w:lang w:val="en-US" w:eastAsia="en-US" w:bidi="ar-SA"/>
      </w:rPr>
    </w:lvl>
    <w:lvl w:ilvl="7" w:tplc="1C8A4D3A">
      <w:numFmt w:val="bullet"/>
      <w:lvlText w:val="•"/>
      <w:lvlJc w:val="left"/>
      <w:pPr>
        <w:ind w:left="7186" w:hanging="629"/>
      </w:pPr>
      <w:rPr>
        <w:rFonts w:hint="default"/>
        <w:lang w:val="en-US" w:eastAsia="en-US" w:bidi="ar-SA"/>
      </w:rPr>
    </w:lvl>
    <w:lvl w:ilvl="8" w:tplc="1928820E">
      <w:numFmt w:val="bullet"/>
      <w:lvlText w:val="•"/>
      <w:lvlJc w:val="left"/>
      <w:pPr>
        <w:ind w:left="7944" w:hanging="629"/>
      </w:pPr>
      <w:rPr>
        <w:rFonts w:hint="default"/>
        <w:lang w:val="en-US" w:eastAsia="en-US" w:bidi="ar-SA"/>
      </w:rPr>
    </w:lvl>
  </w:abstractNum>
  <w:abstractNum w:abstractNumId="2" w15:restartNumberingAfterBreak="0">
    <w:nsid w:val="66D66C4B"/>
    <w:multiLevelType w:val="hybridMultilevel"/>
    <w:tmpl w:val="A904A0D0"/>
    <w:lvl w:ilvl="0" w:tplc="EC74A820">
      <w:start w:val="1"/>
      <w:numFmt w:val="upperRoman"/>
      <w:lvlText w:val="%1."/>
      <w:lvlJc w:val="left"/>
      <w:pPr>
        <w:ind w:left="831" w:hanging="495"/>
        <w:jc w:val="right"/>
      </w:pPr>
      <w:rPr>
        <w:rFonts w:ascii="Arial" w:eastAsia="Arial" w:hAnsi="Arial" w:cs="Arial" w:hint="default"/>
        <w:b w:val="0"/>
        <w:bCs w:val="0"/>
        <w:i w:val="0"/>
        <w:iCs w:val="0"/>
        <w:spacing w:val="0"/>
        <w:w w:val="100"/>
        <w:sz w:val="24"/>
        <w:szCs w:val="24"/>
        <w:lang w:val="en-US" w:eastAsia="en-US" w:bidi="ar-SA"/>
      </w:rPr>
    </w:lvl>
    <w:lvl w:ilvl="1" w:tplc="41060E3E">
      <w:start w:val="1"/>
      <w:numFmt w:val="upperLetter"/>
      <w:lvlText w:val="%2."/>
      <w:lvlJc w:val="left"/>
      <w:pPr>
        <w:ind w:left="1191" w:hanging="360"/>
      </w:pPr>
      <w:rPr>
        <w:rFonts w:ascii="Arial" w:eastAsia="Arial" w:hAnsi="Arial" w:cs="Arial" w:hint="default"/>
        <w:b w:val="0"/>
        <w:bCs w:val="0"/>
        <w:i w:val="0"/>
        <w:iCs w:val="0"/>
        <w:spacing w:val="0"/>
        <w:w w:val="100"/>
        <w:sz w:val="24"/>
        <w:szCs w:val="24"/>
        <w:lang w:val="en-US" w:eastAsia="en-US" w:bidi="ar-SA"/>
      </w:rPr>
    </w:lvl>
    <w:lvl w:ilvl="2" w:tplc="B1FCC702">
      <w:start w:val="1"/>
      <w:numFmt w:val="decimal"/>
      <w:lvlText w:val="%3."/>
      <w:lvlJc w:val="left"/>
      <w:pPr>
        <w:ind w:left="1551" w:hanging="360"/>
      </w:pPr>
      <w:rPr>
        <w:rFonts w:ascii="Arial" w:eastAsia="Arial" w:hAnsi="Arial" w:cs="Arial" w:hint="default"/>
        <w:b w:val="0"/>
        <w:bCs w:val="0"/>
        <w:i w:val="0"/>
        <w:iCs w:val="0"/>
        <w:spacing w:val="0"/>
        <w:w w:val="100"/>
        <w:sz w:val="24"/>
        <w:szCs w:val="24"/>
        <w:lang w:val="en-US" w:eastAsia="en-US" w:bidi="ar-SA"/>
      </w:rPr>
    </w:lvl>
    <w:lvl w:ilvl="3" w:tplc="30C44B0C">
      <w:start w:val="1"/>
      <w:numFmt w:val="lowerLetter"/>
      <w:lvlText w:val="%4."/>
      <w:lvlJc w:val="left"/>
      <w:pPr>
        <w:ind w:left="2002" w:hanging="452"/>
      </w:pPr>
      <w:rPr>
        <w:rFonts w:ascii="Arial" w:eastAsia="Arial" w:hAnsi="Arial" w:cs="Arial" w:hint="default"/>
        <w:b w:val="0"/>
        <w:bCs w:val="0"/>
        <w:i w:val="0"/>
        <w:iCs w:val="0"/>
        <w:spacing w:val="0"/>
        <w:w w:val="100"/>
        <w:sz w:val="24"/>
        <w:szCs w:val="24"/>
        <w:lang w:val="en-US" w:eastAsia="en-US" w:bidi="ar-SA"/>
      </w:rPr>
    </w:lvl>
    <w:lvl w:ilvl="4" w:tplc="7E027BE4">
      <w:start w:val="1"/>
      <w:numFmt w:val="decimal"/>
      <w:lvlText w:val="%5)"/>
      <w:lvlJc w:val="left"/>
      <w:pPr>
        <w:ind w:left="2631" w:hanging="629"/>
      </w:pPr>
      <w:rPr>
        <w:rFonts w:ascii="Arial" w:eastAsia="Arial" w:hAnsi="Arial" w:cs="Arial" w:hint="default"/>
        <w:b w:val="0"/>
        <w:bCs w:val="0"/>
        <w:i w:val="0"/>
        <w:iCs w:val="0"/>
        <w:spacing w:val="0"/>
        <w:w w:val="100"/>
        <w:sz w:val="24"/>
        <w:szCs w:val="24"/>
        <w:lang w:val="en-US" w:eastAsia="en-US" w:bidi="ar-SA"/>
      </w:rPr>
    </w:lvl>
    <w:lvl w:ilvl="5" w:tplc="365258DE">
      <w:numFmt w:val="bullet"/>
      <w:lvlText w:val="•"/>
      <w:lvlJc w:val="left"/>
      <w:pPr>
        <w:ind w:left="2640" w:hanging="629"/>
      </w:pPr>
      <w:rPr>
        <w:rFonts w:hint="default"/>
        <w:lang w:val="en-US" w:eastAsia="en-US" w:bidi="ar-SA"/>
      </w:rPr>
    </w:lvl>
    <w:lvl w:ilvl="6" w:tplc="BF16439A">
      <w:numFmt w:val="bullet"/>
      <w:lvlText w:val="•"/>
      <w:lvlJc w:val="left"/>
      <w:pPr>
        <w:ind w:left="4004" w:hanging="629"/>
      </w:pPr>
      <w:rPr>
        <w:rFonts w:hint="default"/>
        <w:lang w:val="en-US" w:eastAsia="en-US" w:bidi="ar-SA"/>
      </w:rPr>
    </w:lvl>
    <w:lvl w:ilvl="7" w:tplc="DD62A2F0">
      <w:numFmt w:val="bullet"/>
      <w:lvlText w:val="•"/>
      <w:lvlJc w:val="left"/>
      <w:pPr>
        <w:ind w:left="5368" w:hanging="629"/>
      </w:pPr>
      <w:rPr>
        <w:rFonts w:hint="default"/>
        <w:lang w:val="en-US" w:eastAsia="en-US" w:bidi="ar-SA"/>
      </w:rPr>
    </w:lvl>
    <w:lvl w:ilvl="8" w:tplc="4B4646EE">
      <w:numFmt w:val="bullet"/>
      <w:lvlText w:val="•"/>
      <w:lvlJc w:val="left"/>
      <w:pPr>
        <w:ind w:left="6732" w:hanging="629"/>
      </w:pPr>
      <w:rPr>
        <w:rFonts w:hint="default"/>
        <w:lang w:val="en-US" w:eastAsia="en-US" w:bidi="ar-SA"/>
      </w:rPr>
    </w:lvl>
  </w:abstractNum>
  <w:abstractNum w:abstractNumId="3" w15:restartNumberingAfterBreak="0">
    <w:nsid w:val="70BA50EB"/>
    <w:multiLevelType w:val="hybridMultilevel"/>
    <w:tmpl w:val="32FC6EA0"/>
    <w:lvl w:ilvl="0" w:tplc="66FE735A">
      <w:start w:val="4"/>
      <w:numFmt w:val="decimal"/>
      <w:lvlText w:val="%1."/>
      <w:lvlJc w:val="left"/>
      <w:pPr>
        <w:ind w:left="1642" w:hanging="452"/>
      </w:pPr>
      <w:rPr>
        <w:rFonts w:ascii="Arial" w:eastAsia="Arial" w:hAnsi="Arial" w:cs="Arial" w:hint="default"/>
        <w:b w:val="0"/>
        <w:bCs w:val="0"/>
        <w:i w:val="0"/>
        <w:iCs w:val="0"/>
        <w:spacing w:val="0"/>
        <w:w w:val="100"/>
        <w:sz w:val="24"/>
        <w:szCs w:val="24"/>
        <w:lang w:val="en-US" w:eastAsia="en-US" w:bidi="ar-SA"/>
      </w:rPr>
    </w:lvl>
    <w:lvl w:ilvl="1" w:tplc="D326FACA">
      <w:numFmt w:val="bullet"/>
      <w:lvlText w:val="•"/>
      <w:lvlJc w:val="left"/>
      <w:pPr>
        <w:ind w:left="2422" w:hanging="452"/>
      </w:pPr>
      <w:rPr>
        <w:rFonts w:hint="default"/>
        <w:lang w:val="en-US" w:eastAsia="en-US" w:bidi="ar-SA"/>
      </w:rPr>
    </w:lvl>
    <w:lvl w:ilvl="2" w:tplc="BED4479A">
      <w:numFmt w:val="bullet"/>
      <w:lvlText w:val="•"/>
      <w:lvlJc w:val="left"/>
      <w:pPr>
        <w:ind w:left="3204" w:hanging="452"/>
      </w:pPr>
      <w:rPr>
        <w:rFonts w:hint="default"/>
        <w:lang w:val="en-US" w:eastAsia="en-US" w:bidi="ar-SA"/>
      </w:rPr>
    </w:lvl>
    <w:lvl w:ilvl="3" w:tplc="3E48AD08">
      <w:numFmt w:val="bullet"/>
      <w:lvlText w:val="•"/>
      <w:lvlJc w:val="left"/>
      <w:pPr>
        <w:ind w:left="3986" w:hanging="452"/>
      </w:pPr>
      <w:rPr>
        <w:rFonts w:hint="default"/>
        <w:lang w:val="en-US" w:eastAsia="en-US" w:bidi="ar-SA"/>
      </w:rPr>
    </w:lvl>
    <w:lvl w:ilvl="4" w:tplc="A6AECF92">
      <w:numFmt w:val="bullet"/>
      <w:lvlText w:val="•"/>
      <w:lvlJc w:val="left"/>
      <w:pPr>
        <w:ind w:left="4768" w:hanging="452"/>
      </w:pPr>
      <w:rPr>
        <w:rFonts w:hint="default"/>
        <w:lang w:val="en-US" w:eastAsia="en-US" w:bidi="ar-SA"/>
      </w:rPr>
    </w:lvl>
    <w:lvl w:ilvl="5" w:tplc="AD9CA800">
      <w:numFmt w:val="bullet"/>
      <w:lvlText w:val="•"/>
      <w:lvlJc w:val="left"/>
      <w:pPr>
        <w:ind w:left="5550" w:hanging="452"/>
      </w:pPr>
      <w:rPr>
        <w:rFonts w:hint="default"/>
        <w:lang w:val="en-US" w:eastAsia="en-US" w:bidi="ar-SA"/>
      </w:rPr>
    </w:lvl>
    <w:lvl w:ilvl="6" w:tplc="7F5A2E88">
      <w:numFmt w:val="bullet"/>
      <w:lvlText w:val="•"/>
      <w:lvlJc w:val="left"/>
      <w:pPr>
        <w:ind w:left="6332" w:hanging="452"/>
      </w:pPr>
      <w:rPr>
        <w:rFonts w:hint="default"/>
        <w:lang w:val="en-US" w:eastAsia="en-US" w:bidi="ar-SA"/>
      </w:rPr>
    </w:lvl>
    <w:lvl w:ilvl="7" w:tplc="856AC986">
      <w:numFmt w:val="bullet"/>
      <w:lvlText w:val="•"/>
      <w:lvlJc w:val="left"/>
      <w:pPr>
        <w:ind w:left="7114" w:hanging="452"/>
      </w:pPr>
      <w:rPr>
        <w:rFonts w:hint="default"/>
        <w:lang w:val="en-US" w:eastAsia="en-US" w:bidi="ar-SA"/>
      </w:rPr>
    </w:lvl>
    <w:lvl w:ilvl="8" w:tplc="CB1C8A8A">
      <w:numFmt w:val="bullet"/>
      <w:lvlText w:val="•"/>
      <w:lvlJc w:val="left"/>
      <w:pPr>
        <w:ind w:left="7896" w:hanging="452"/>
      </w:pPr>
      <w:rPr>
        <w:rFonts w:hint="default"/>
        <w:lang w:val="en-US" w:eastAsia="en-US" w:bidi="ar-SA"/>
      </w:rPr>
    </w:lvl>
  </w:abstractNum>
  <w:num w:numId="1" w16cid:durableId="1044405862">
    <w:abstractNumId w:val="1"/>
  </w:num>
  <w:num w:numId="2" w16cid:durableId="1231383873">
    <w:abstractNumId w:val="3"/>
  </w:num>
  <w:num w:numId="3" w16cid:durableId="1397167988">
    <w:abstractNumId w:val="0"/>
  </w:num>
  <w:num w:numId="4" w16cid:durableId="214199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E8"/>
    <w:rsid w:val="000160AA"/>
    <w:rsid w:val="000551D0"/>
    <w:rsid w:val="000B5924"/>
    <w:rsid w:val="001173B5"/>
    <w:rsid w:val="00140339"/>
    <w:rsid w:val="00151773"/>
    <w:rsid w:val="00172D9E"/>
    <w:rsid w:val="00184056"/>
    <w:rsid w:val="001D5F20"/>
    <w:rsid w:val="00221027"/>
    <w:rsid w:val="002632AE"/>
    <w:rsid w:val="00276492"/>
    <w:rsid w:val="00277392"/>
    <w:rsid w:val="002B347D"/>
    <w:rsid w:val="002C5BC2"/>
    <w:rsid w:val="002D32F3"/>
    <w:rsid w:val="002E6EF5"/>
    <w:rsid w:val="002F3B43"/>
    <w:rsid w:val="0035599E"/>
    <w:rsid w:val="003627BC"/>
    <w:rsid w:val="003676F3"/>
    <w:rsid w:val="003970D0"/>
    <w:rsid w:val="003D0C73"/>
    <w:rsid w:val="003E2A06"/>
    <w:rsid w:val="003F41F5"/>
    <w:rsid w:val="004A598F"/>
    <w:rsid w:val="00505E40"/>
    <w:rsid w:val="005658F4"/>
    <w:rsid w:val="00576338"/>
    <w:rsid w:val="00636941"/>
    <w:rsid w:val="00660BBB"/>
    <w:rsid w:val="006F2014"/>
    <w:rsid w:val="007208DC"/>
    <w:rsid w:val="00743F51"/>
    <w:rsid w:val="007855A1"/>
    <w:rsid w:val="007B6919"/>
    <w:rsid w:val="00811D2C"/>
    <w:rsid w:val="008254BB"/>
    <w:rsid w:val="008B5D1C"/>
    <w:rsid w:val="008C0E71"/>
    <w:rsid w:val="008E0D42"/>
    <w:rsid w:val="008F2A91"/>
    <w:rsid w:val="008F5504"/>
    <w:rsid w:val="008F6A73"/>
    <w:rsid w:val="00A041D8"/>
    <w:rsid w:val="00A549E8"/>
    <w:rsid w:val="00A6617A"/>
    <w:rsid w:val="00A87CEA"/>
    <w:rsid w:val="00A93BD0"/>
    <w:rsid w:val="00AA7D6F"/>
    <w:rsid w:val="00AB307D"/>
    <w:rsid w:val="00AC5D82"/>
    <w:rsid w:val="00B13779"/>
    <w:rsid w:val="00B65BC5"/>
    <w:rsid w:val="00B73E63"/>
    <w:rsid w:val="00BC48A9"/>
    <w:rsid w:val="00C03293"/>
    <w:rsid w:val="00C20701"/>
    <w:rsid w:val="00C33F5B"/>
    <w:rsid w:val="00C51BD7"/>
    <w:rsid w:val="00C56D08"/>
    <w:rsid w:val="00C73E5C"/>
    <w:rsid w:val="00C85AFA"/>
    <w:rsid w:val="00CD779D"/>
    <w:rsid w:val="00D456EA"/>
    <w:rsid w:val="00D510E9"/>
    <w:rsid w:val="00D91D05"/>
    <w:rsid w:val="00DE6531"/>
    <w:rsid w:val="00E11120"/>
    <w:rsid w:val="00E81C77"/>
    <w:rsid w:val="00E90FE1"/>
    <w:rsid w:val="00EA2E8F"/>
    <w:rsid w:val="00EB3343"/>
    <w:rsid w:val="00ED3B71"/>
    <w:rsid w:val="00EE7701"/>
    <w:rsid w:val="00F676CB"/>
    <w:rsid w:val="00F73E5F"/>
    <w:rsid w:val="017737EA"/>
    <w:rsid w:val="01E098D0"/>
    <w:rsid w:val="030F3726"/>
    <w:rsid w:val="03476C94"/>
    <w:rsid w:val="03729C80"/>
    <w:rsid w:val="05940B94"/>
    <w:rsid w:val="06B39815"/>
    <w:rsid w:val="07DF43F6"/>
    <w:rsid w:val="08D62D29"/>
    <w:rsid w:val="095DD271"/>
    <w:rsid w:val="09D60490"/>
    <w:rsid w:val="0AEBCC65"/>
    <w:rsid w:val="0AF7363B"/>
    <w:rsid w:val="0CC4837B"/>
    <w:rsid w:val="0F4AB833"/>
    <w:rsid w:val="12474BA3"/>
    <w:rsid w:val="1595C672"/>
    <w:rsid w:val="16C30C0E"/>
    <w:rsid w:val="16E1CB4D"/>
    <w:rsid w:val="19098226"/>
    <w:rsid w:val="190FCF01"/>
    <w:rsid w:val="1C85D3DF"/>
    <w:rsid w:val="1D2EE7EC"/>
    <w:rsid w:val="1D589F35"/>
    <w:rsid w:val="23DA5C0F"/>
    <w:rsid w:val="23DB6B49"/>
    <w:rsid w:val="248B0C3A"/>
    <w:rsid w:val="250FB7CE"/>
    <w:rsid w:val="2586AD93"/>
    <w:rsid w:val="26BBA7E9"/>
    <w:rsid w:val="272452C3"/>
    <w:rsid w:val="274C2DB3"/>
    <w:rsid w:val="290AB363"/>
    <w:rsid w:val="2BA121EB"/>
    <w:rsid w:val="2CD4B61A"/>
    <w:rsid w:val="2D232F65"/>
    <w:rsid w:val="2EA623C9"/>
    <w:rsid w:val="2F34EF70"/>
    <w:rsid w:val="30FDC7B0"/>
    <w:rsid w:val="316CD5C2"/>
    <w:rsid w:val="3388B9AA"/>
    <w:rsid w:val="377C00A6"/>
    <w:rsid w:val="4019F19D"/>
    <w:rsid w:val="406CCC8C"/>
    <w:rsid w:val="4190C18D"/>
    <w:rsid w:val="43304B57"/>
    <w:rsid w:val="447E2826"/>
    <w:rsid w:val="44957BD0"/>
    <w:rsid w:val="463AE78B"/>
    <w:rsid w:val="4AB29C60"/>
    <w:rsid w:val="4B2685DF"/>
    <w:rsid w:val="4B5654A4"/>
    <w:rsid w:val="4EDBDD25"/>
    <w:rsid w:val="51AE1FD6"/>
    <w:rsid w:val="55916EF7"/>
    <w:rsid w:val="5C4AB18C"/>
    <w:rsid w:val="5D0FEFF7"/>
    <w:rsid w:val="5E3F7044"/>
    <w:rsid w:val="5E91EE8F"/>
    <w:rsid w:val="62CCF676"/>
    <w:rsid w:val="6410A245"/>
    <w:rsid w:val="697DC0B3"/>
    <w:rsid w:val="6B41DD2C"/>
    <w:rsid w:val="6C49C38F"/>
    <w:rsid w:val="6CECB30F"/>
    <w:rsid w:val="6DE1EB3C"/>
    <w:rsid w:val="6E16A8F5"/>
    <w:rsid w:val="6EB43D38"/>
    <w:rsid w:val="6F3A5351"/>
    <w:rsid w:val="6F719C9D"/>
    <w:rsid w:val="742FB3E2"/>
    <w:rsid w:val="780CE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C431E5"/>
  <w15:docId w15:val="{1F6544FB-F795-40EC-BAFA-34ADCD5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93" w:right="57"/>
      <w:jc w:val="center"/>
    </w:pPr>
    <w:rPr>
      <w:b/>
      <w:bCs/>
      <w:sz w:val="28"/>
      <w:szCs w:val="28"/>
    </w:rPr>
  </w:style>
  <w:style w:type="paragraph" w:styleId="ListParagraph">
    <w:name w:val="List Paragraph"/>
    <w:basedOn w:val="Normal"/>
    <w:uiPriority w:val="1"/>
    <w:qFormat/>
    <w:pPr>
      <w:spacing w:before="240"/>
      <w:ind w:left="1642" w:hanging="359"/>
    </w:pPr>
  </w:style>
  <w:style w:type="paragraph" w:customStyle="1" w:styleId="TableParagraph">
    <w:name w:val="Table Paragraph"/>
    <w:basedOn w:val="Normal"/>
    <w:uiPriority w:val="1"/>
    <w:qFormat/>
  </w:style>
  <w:style w:type="paragraph" w:styleId="Header">
    <w:name w:val="header"/>
    <w:basedOn w:val="Normal"/>
    <w:uiPriority w:val="99"/>
    <w:unhideWhenUsed/>
    <w:rsid w:val="250FB7CE"/>
    <w:pPr>
      <w:tabs>
        <w:tab w:val="center" w:pos="4680"/>
        <w:tab w:val="right" w:pos="9360"/>
      </w:tabs>
    </w:pPr>
  </w:style>
  <w:style w:type="paragraph" w:styleId="Footer">
    <w:name w:val="footer"/>
    <w:basedOn w:val="Normal"/>
    <w:link w:val="FooterChar"/>
    <w:uiPriority w:val="99"/>
    <w:unhideWhenUsed/>
    <w:rsid w:val="250FB7C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151773"/>
    <w:rPr>
      <w:rFonts w:ascii="Arial" w:eastAsia="Arial" w:hAnsi="Arial" w:cs="Arial"/>
    </w:rPr>
  </w:style>
  <w:style w:type="paragraph" w:customStyle="1" w:styleId="p1">
    <w:name w:val="p1"/>
    <w:basedOn w:val="Normal"/>
    <w:rsid w:val="00C03293"/>
    <w:pPr>
      <w:widowControl/>
      <w:autoSpaceDE/>
      <w:autoSpaceDN/>
    </w:pPr>
    <w:rPr>
      <w:rFonts w:eastAsia="Times New Roman"/>
      <w:color w:val="000000"/>
      <w:sz w:val="15"/>
      <w:szCs w:val="15"/>
    </w:rPr>
  </w:style>
  <w:style w:type="paragraph" w:styleId="NormalWeb">
    <w:name w:val="Normal (Web)"/>
    <w:basedOn w:val="Normal"/>
    <w:uiPriority w:val="99"/>
    <w:semiHidden/>
    <w:unhideWhenUsed/>
    <w:rsid w:val="00C032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3293"/>
  </w:style>
  <w:style w:type="character" w:styleId="Hyperlink">
    <w:name w:val="Hyperlink"/>
    <w:basedOn w:val="DefaultParagraphFont"/>
    <w:uiPriority w:val="99"/>
    <w:semiHidden/>
    <w:unhideWhenUsed/>
    <w:rsid w:val="00C03293"/>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55A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vma.org/sites/default/files/2020-02/Guidelines-on-Euthanasia-2020.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fd295-1a3d-4383-9b04-7a7392e91fd2">
      <Terms xmlns="http://schemas.microsoft.com/office/infopath/2007/PartnerControls"/>
    </lcf76f155ced4ddcb4097134ff3c332f>
    <TaxCatchAll xmlns="b5e07875-f62f-4f79-977b-bc0ca07c22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8" ma:contentTypeDescription="Create a new document." ma:contentTypeScope="" ma:versionID="433ddc1a28307e882f91af42f2fcba36">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7313b6ef08ce1ef25aa9a40d8cce79d1"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71C0E-3C9B-426C-B5C7-7AD9B46560FD}">
  <ds:schemaRefs>
    <ds:schemaRef ds:uri="http://schemas.microsoft.com/office/2006/metadata/properties"/>
    <ds:schemaRef ds:uri="http://schemas.microsoft.com/office/infopath/2007/PartnerControls"/>
    <ds:schemaRef ds:uri="cc9fd295-1a3d-4383-9b04-7a7392e91fd2"/>
    <ds:schemaRef ds:uri="b5e07875-f62f-4f79-977b-bc0ca07c22ae"/>
  </ds:schemaRefs>
</ds:datastoreItem>
</file>

<file path=customXml/itemProps2.xml><?xml version="1.0" encoding="utf-8"?>
<ds:datastoreItem xmlns:ds="http://schemas.openxmlformats.org/officeDocument/2006/customXml" ds:itemID="{B64130F8-DE5A-4137-A76D-B884AE4F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1D63F-7734-485E-BEEA-0B9E4423D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14</cp:revision>
  <dcterms:created xsi:type="dcterms:W3CDTF">2026-05-13T18:38:00Z</dcterms:created>
  <dcterms:modified xsi:type="dcterms:W3CDTF">2026-06-29T17:29:00Z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LastSaved">
    <vt:filetime>2025-05-23T00:00:00Z</vt:filetime>
  </property>
  <property fmtid="{D5CDD505-2E9C-101B-9397-08002B2CF9AE}" pid="6" name="Producer">
    <vt:lpwstr>Adobe PDF Library 23.3.45</vt:lpwstr>
  </property>
  <property fmtid="{D5CDD505-2E9C-101B-9397-08002B2CF9AE}" pid="7" name="SourceModified">
    <vt:lpwstr/>
  </property>
  <property fmtid="{D5CDD505-2E9C-101B-9397-08002B2CF9AE}" pid="8" name="MediaServiceImageTags">
    <vt:lpwstr/>
  </property>
</Properties>
</file>