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C" w:rsidRPr="00194D61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194D61" w:rsidRPr="00194D61" w:rsidRDefault="00194D61">
      <w:pPr>
        <w:rPr>
          <w:b/>
        </w:rPr>
      </w:pP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650080">
        <w:rPr>
          <w:b/>
          <w:sz w:val="36"/>
          <w:szCs w:val="36"/>
        </w:rPr>
        <w:t xml:space="preserve">Wednesday, March 18, </w:t>
      </w:r>
      <w:r w:rsidR="005A3211">
        <w:rPr>
          <w:b/>
          <w:sz w:val="36"/>
          <w:szCs w:val="36"/>
        </w:rPr>
        <w:t>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0A0D96">
        <w:rPr>
          <w:b/>
        </w:rPr>
        <w:t>0</w:t>
      </w:r>
      <w:r w:rsidR="00420562">
        <w:rPr>
          <w:b/>
        </w:rPr>
        <w:t>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0A0D96">
        <w:rPr>
          <w:b/>
        </w:rPr>
        <w:t>0</w:t>
      </w:r>
      <w:r w:rsidR="00420562">
        <w:rPr>
          <w:b/>
        </w:rPr>
        <w:t>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346A7D">
        <w:rPr>
          <w:b/>
        </w:rPr>
        <w:t xml:space="preserve">Plant </w:t>
      </w:r>
      <w:r w:rsidR="0044140D">
        <w:rPr>
          <w:b/>
        </w:rPr>
        <w:t>Bioscience</w:t>
      </w:r>
      <w:r w:rsidR="00346A7D">
        <w:rPr>
          <w:b/>
        </w:rPr>
        <w:t xml:space="preserve"> 108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30"/>
      </w:tblGrid>
      <w:tr w:rsidR="00CF01F0" w:rsidTr="00392E2E">
        <w:trPr>
          <w:jc w:val="center"/>
        </w:trPr>
        <w:tc>
          <w:tcPr>
            <w:tcW w:w="10705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4932CD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4932CD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392E2E">
        <w:trPr>
          <w:jc w:val="center"/>
        </w:trPr>
        <w:tc>
          <w:tcPr>
            <w:tcW w:w="265" w:type="dxa"/>
          </w:tcPr>
          <w:p w:rsidR="00CF01F0" w:rsidRDefault="004932CD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4932CD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Michael Reidy – Faculty Senate 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4932CD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Lynda Ransdell – EHHD</w:t>
            </w:r>
          </w:p>
        </w:tc>
        <w:tc>
          <w:tcPr>
            <w:tcW w:w="270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EE0672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4932CD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4932CD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40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4932CD" w:rsidP="00650080">
            <w:r>
              <w:t>Chris Fastnow</w:t>
            </w:r>
          </w:p>
        </w:tc>
        <w:tc>
          <w:tcPr>
            <w:tcW w:w="360" w:type="dxa"/>
          </w:tcPr>
          <w:p w:rsidR="00650080" w:rsidRDefault="004932CD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 xml:space="preserve"> </w:t>
            </w:r>
            <w:r w:rsidR="004932CD">
              <w:t>Bob Mokwa</w:t>
            </w:r>
          </w:p>
        </w:tc>
        <w:tc>
          <w:tcPr>
            <w:tcW w:w="270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 </w:t>
            </w:r>
            <w:r w:rsidR="004932CD">
              <w:t>Megan Bergstedt</w:t>
            </w:r>
          </w:p>
        </w:tc>
      </w:tr>
      <w:tr w:rsidR="00650080" w:rsidTr="00392E2E">
        <w:trPr>
          <w:jc w:val="center"/>
        </w:trPr>
        <w:tc>
          <w:tcPr>
            <w:tcW w:w="265" w:type="dxa"/>
          </w:tcPr>
          <w:p w:rsidR="00650080" w:rsidRDefault="004932CD" w:rsidP="00650080">
            <w:r>
              <w:t>x</w:t>
            </w:r>
          </w:p>
        </w:tc>
        <w:tc>
          <w:tcPr>
            <w:tcW w:w="3330" w:type="dxa"/>
          </w:tcPr>
          <w:p w:rsidR="00650080" w:rsidRDefault="004932CD" w:rsidP="00650080">
            <w:bookmarkStart w:id="0" w:name="_GoBack"/>
            <w:bookmarkEnd w:id="0"/>
            <w:r>
              <w:t>Keith Hutchinson</w:t>
            </w:r>
          </w:p>
        </w:tc>
        <w:tc>
          <w:tcPr>
            <w:tcW w:w="360" w:type="dxa"/>
          </w:tcPr>
          <w:p w:rsidR="00650080" w:rsidRDefault="003D3F82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5166E2">
            <w:r>
              <w:t xml:space="preserve"> </w:t>
            </w:r>
            <w:r w:rsidR="0044140D">
              <w:t>Aaron</w:t>
            </w:r>
            <w:r w:rsidR="006E7CF7">
              <w:t xml:space="preserve"> </w:t>
            </w:r>
            <w:proofErr w:type="spellStart"/>
            <w:r w:rsidR="006E7CF7">
              <w:t>Grusonik</w:t>
            </w:r>
            <w:proofErr w:type="spellEnd"/>
            <w:r w:rsidR="004932CD">
              <w:t>(for Matt Ca</w:t>
            </w:r>
            <w:r w:rsidR="005166E2">
              <w:t>ires</w:t>
            </w:r>
            <w:r w:rsidR="004932CD">
              <w:t>)</w:t>
            </w:r>
          </w:p>
        </w:tc>
        <w:tc>
          <w:tcPr>
            <w:tcW w:w="270" w:type="dxa"/>
          </w:tcPr>
          <w:p w:rsidR="00650080" w:rsidRDefault="00EE0672" w:rsidP="00650080">
            <w:r>
              <w:t>x</w:t>
            </w:r>
          </w:p>
        </w:tc>
        <w:tc>
          <w:tcPr>
            <w:tcW w:w="3330" w:type="dxa"/>
          </w:tcPr>
          <w:p w:rsidR="00650080" w:rsidRDefault="00EE0672" w:rsidP="00650080">
            <w:r>
              <w:t>Terry Leist</w:t>
            </w:r>
          </w:p>
        </w:tc>
      </w:tr>
      <w:tr w:rsidR="0071672F" w:rsidTr="00392E2E">
        <w:trPr>
          <w:jc w:val="center"/>
        </w:trPr>
        <w:tc>
          <w:tcPr>
            <w:tcW w:w="265" w:type="dxa"/>
          </w:tcPr>
          <w:p w:rsidR="0071672F" w:rsidRDefault="003D3F82" w:rsidP="00650080">
            <w:r>
              <w:t>x</w:t>
            </w:r>
          </w:p>
        </w:tc>
        <w:tc>
          <w:tcPr>
            <w:tcW w:w="3330" w:type="dxa"/>
          </w:tcPr>
          <w:p w:rsidR="0071672F" w:rsidRDefault="003D3F82" w:rsidP="00650080">
            <w:r>
              <w:t>Deb Hay</w:t>
            </w:r>
            <w:r w:rsidR="006E7CF7">
              <w:t>n</w:t>
            </w:r>
            <w:r>
              <w:t>es (for Lynda Ransdell)</w:t>
            </w:r>
          </w:p>
        </w:tc>
        <w:tc>
          <w:tcPr>
            <w:tcW w:w="360" w:type="dxa"/>
          </w:tcPr>
          <w:p w:rsidR="0071672F" w:rsidRDefault="0071672F" w:rsidP="00650080"/>
        </w:tc>
        <w:tc>
          <w:tcPr>
            <w:tcW w:w="3150" w:type="dxa"/>
          </w:tcPr>
          <w:p w:rsidR="0071672F" w:rsidRDefault="0071672F" w:rsidP="00650080"/>
        </w:tc>
        <w:tc>
          <w:tcPr>
            <w:tcW w:w="270" w:type="dxa"/>
          </w:tcPr>
          <w:p w:rsidR="0071672F" w:rsidRDefault="0071672F" w:rsidP="00650080"/>
        </w:tc>
        <w:tc>
          <w:tcPr>
            <w:tcW w:w="3330" w:type="dxa"/>
          </w:tcPr>
          <w:p w:rsidR="0071672F" w:rsidRDefault="0071672F" w:rsidP="00650080"/>
        </w:tc>
      </w:tr>
    </w:tbl>
    <w:p w:rsidR="00194D61" w:rsidRDefault="00194D61"/>
    <w:p w:rsidR="00194D61" w:rsidRDefault="00194D61" w:rsidP="00194D61">
      <w:pPr>
        <w:tabs>
          <w:tab w:val="left" w:pos="3240"/>
          <w:tab w:val="left" w:pos="6120"/>
        </w:tabs>
      </w:pPr>
      <w:r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650080" w:rsidRPr="006E7CF7">
        <w:t xml:space="preserve"> </w:t>
      </w:r>
      <w:r w:rsidR="004932CD" w:rsidRPr="006E7CF7">
        <w:t>1:06 p.m.</w:t>
      </w:r>
    </w:p>
    <w:p w:rsidR="007708A0" w:rsidRPr="006E7CF7" w:rsidRDefault="007708A0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rPr>
          <w:b/>
        </w:rPr>
        <w:t xml:space="preserve">Approval of Minutes: </w:t>
      </w:r>
      <w:r w:rsidR="006569D4" w:rsidRPr="006E7CF7">
        <w:rPr>
          <w:b/>
        </w:rPr>
        <w:t xml:space="preserve"> </w:t>
      </w:r>
      <w:r w:rsidR="00467E7F" w:rsidRPr="006E7CF7">
        <w:t>Kregg</w:t>
      </w:r>
      <w:r w:rsidR="004A2CEE" w:rsidRPr="006E7CF7">
        <w:t xml:space="preserve"> Aytes</w:t>
      </w:r>
      <w:r w:rsidR="004932CD" w:rsidRPr="006E7CF7">
        <w:t xml:space="preserve"> moved to approve, Ilse</w:t>
      </w:r>
      <w:r w:rsidR="004A2CEE" w:rsidRPr="006E7CF7">
        <w:t>-Mari Lee</w:t>
      </w:r>
      <w:r w:rsidR="004932CD" w:rsidRPr="006E7CF7">
        <w:t xml:space="preserve"> seconded</w:t>
      </w:r>
      <w:r w:rsidR="004A2CEE" w:rsidRPr="006E7CF7">
        <w:t>. Approved</w:t>
      </w:r>
      <w:r w:rsidR="004932CD" w:rsidRPr="006E7CF7">
        <w:t>.</w:t>
      </w:r>
      <w:r w:rsidR="00BE5DD1" w:rsidRPr="006E7CF7">
        <w:t xml:space="preserve">  </w:t>
      </w:r>
    </w:p>
    <w:p w:rsidR="00CB7D32" w:rsidRPr="006E7CF7" w:rsidRDefault="00562224" w:rsidP="00CB7D3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337769" w:rsidRPr="006E7CF7" w:rsidRDefault="00337769" w:rsidP="00346A7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>Building Energy Systems Minor</w:t>
      </w:r>
      <w:r w:rsidR="004932CD" w:rsidRPr="006E7CF7">
        <w:t xml:space="preserve">: </w:t>
      </w:r>
      <w:r w:rsidR="00163607">
        <w:t xml:space="preserve">After no further discussion, </w:t>
      </w:r>
      <w:r w:rsidR="004932CD" w:rsidRPr="006E7CF7">
        <w:t>Nancy</w:t>
      </w:r>
      <w:r w:rsidR="004A2CEE" w:rsidRPr="006E7CF7">
        <w:t xml:space="preserve"> Cornwell</w:t>
      </w:r>
      <w:r w:rsidR="004932CD" w:rsidRPr="006E7CF7">
        <w:t xml:space="preserve"> moved to </w:t>
      </w:r>
      <w:r w:rsidR="00467E7F" w:rsidRPr="006E7CF7">
        <w:t>approve</w:t>
      </w:r>
      <w:r w:rsidR="004932CD" w:rsidRPr="006E7CF7">
        <w:t>, Brett</w:t>
      </w:r>
      <w:r w:rsidR="004A2CEE" w:rsidRPr="006E7CF7">
        <w:t xml:space="preserve"> Gunnink</w:t>
      </w:r>
      <w:r w:rsidR="004932CD" w:rsidRPr="006E7CF7">
        <w:t xml:space="preserve"> seconded. Approved.</w:t>
      </w:r>
      <w:r w:rsidR="008D686E" w:rsidRPr="006E7CF7">
        <w:t xml:space="preserve"> </w:t>
      </w:r>
    </w:p>
    <w:p w:rsidR="000A0D96" w:rsidRPr="006E7CF7" w:rsidRDefault="000A0D96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>Business Certificate</w:t>
      </w:r>
      <w:r w:rsidR="004932CD" w:rsidRPr="006E7CF7">
        <w:t xml:space="preserve">: </w:t>
      </w:r>
      <w:r w:rsidR="008A239A" w:rsidRPr="006E7CF7">
        <w:t xml:space="preserve">This certificate </w:t>
      </w:r>
      <w:r w:rsidR="008D686E" w:rsidRPr="006E7CF7">
        <w:t xml:space="preserve">will be different </w:t>
      </w:r>
      <w:r w:rsidR="008A239A" w:rsidRPr="006E7CF7">
        <w:t>than that offered by Gallatin College and is intended for degree seekin</w:t>
      </w:r>
      <w:r w:rsidR="00121EBF" w:rsidRPr="006E7CF7">
        <w:t xml:space="preserve">g students in other disciplines. </w:t>
      </w:r>
      <w:r w:rsidR="00FA1DE1" w:rsidRPr="006E7CF7">
        <w:t xml:space="preserve">Brett Gunnink moved to approve, </w:t>
      </w:r>
      <w:proofErr w:type="spellStart"/>
      <w:r w:rsidR="00FA1DE1" w:rsidRPr="006E7CF7">
        <w:t>Nic</w:t>
      </w:r>
      <w:proofErr w:type="spellEnd"/>
      <w:r w:rsidR="00FA1DE1" w:rsidRPr="006E7CF7">
        <w:t xml:space="preserve"> Rae seconded. Approved.</w:t>
      </w:r>
      <w:r w:rsidR="00467E7F" w:rsidRPr="006E7CF7">
        <w:t xml:space="preserve"> </w:t>
      </w:r>
      <w:r w:rsidR="002A2EFD" w:rsidRPr="006E7CF7">
        <w:t xml:space="preserve"> </w:t>
      </w:r>
    </w:p>
    <w:p w:rsidR="000A0D96" w:rsidRPr="006E7CF7" w:rsidRDefault="00CE4768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>PhD in Psych</w:t>
      </w:r>
      <w:r w:rsidR="002F4A43" w:rsidRPr="006E7CF7">
        <w:t xml:space="preserve">ology: </w:t>
      </w:r>
      <w:r w:rsidRPr="006E7CF7">
        <w:t>The Psychology department is thriving and is an ever growing major.</w:t>
      </w:r>
      <w:r w:rsidR="000C3B1A" w:rsidRPr="006E7CF7">
        <w:t xml:space="preserve"> The skeleton for the program is in place with the Master’s Program with the intent to grow students into a PhD program.</w:t>
      </w:r>
      <w:r w:rsidRPr="006E7CF7">
        <w:t xml:space="preserve">  Of Carnegie Institutes 105 of 108 have PhD in Psychology programs and </w:t>
      </w:r>
      <w:r w:rsidR="00054A2D" w:rsidRPr="006E7CF7">
        <w:t xml:space="preserve">the degree </w:t>
      </w:r>
      <w:r w:rsidRPr="006E7CF7">
        <w:t xml:space="preserve">meets </w:t>
      </w:r>
      <w:r w:rsidR="00054A2D" w:rsidRPr="006E7CF7">
        <w:t xml:space="preserve">several </w:t>
      </w:r>
      <w:r w:rsidRPr="006E7CF7">
        <w:t xml:space="preserve">strategic goals. There is no duplication with U of M. </w:t>
      </w:r>
      <w:r w:rsidR="00D07C21" w:rsidRPr="006E7CF7">
        <w:t xml:space="preserve"> The program can be </w:t>
      </w:r>
      <w:r w:rsidR="002E0350" w:rsidRPr="006E7CF7">
        <w:t>launched</w:t>
      </w:r>
      <w:r w:rsidR="00D07C21" w:rsidRPr="006E7CF7">
        <w:t xml:space="preserve"> with the existing </w:t>
      </w:r>
      <w:r w:rsidR="002E0350" w:rsidRPr="006E7CF7">
        <w:t>faculty</w:t>
      </w:r>
      <w:r w:rsidR="00163607">
        <w:t xml:space="preserve"> and GTA support. </w:t>
      </w:r>
      <w:r w:rsidR="00353E9E" w:rsidRPr="006E7CF7">
        <w:t xml:space="preserve"> </w:t>
      </w:r>
      <w:r w:rsidR="0083382B" w:rsidRPr="006E7CF7">
        <w:t xml:space="preserve">A request was made to provide data regarding students who complete </w:t>
      </w:r>
      <w:r w:rsidR="00054A2D" w:rsidRPr="006E7CF7">
        <w:t xml:space="preserve">the </w:t>
      </w:r>
      <w:r w:rsidR="0083382B" w:rsidRPr="006E7CF7">
        <w:t>Master’s degree program and then move to another institute to complete</w:t>
      </w:r>
      <w:r w:rsidR="00163607">
        <w:t xml:space="preserve"> a</w:t>
      </w:r>
      <w:r w:rsidR="0083382B" w:rsidRPr="006E7CF7">
        <w:t xml:space="preserve"> PhD program.</w:t>
      </w:r>
      <w:r w:rsidR="00B049CA" w:rsidRPr="006E7CF7">
        <w:t xml:space="preserve">  </w:t>
      </w:r>
      <w:r w:rsidR="00886E35" w:rsidRPr="006E7CF7">
        <w:t xml:space="preserve">Nancy Cornwell moved to approve, Kregg Aytes seconded. Approved. </w:t>
      </w:r>
    </w:p>
    <w:p w:rsidR="005667E6" w:rsidRDefault="005667E6" w:rsidP="007F4A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>Faculty Handbook Grievance Policy</w:t>
      </w:r>
      <w:r w:rsidR="009B73CA" w:rsidRPr="006E7CF7">
        <w:t xml:space="preserve">: </w:t>
      </w:r>
      <w:r w:rsidR="001B39CA" w:rsidRPr="006E7CF7">
        <w:t>The</w:t>
      </w:r>
      <w:r w:rsidR="001B39CA">
        <w:t xml:space="preserve"> policy was reviewed and it was asked </w:t>
      </w:r>
      <w:r w:rsidR="00163607">
        <w:t>that it</w:t>
      </w:r>
      <w:r w:rsidR="001B39CA">
        <w:t xml:space="preserve"> be returned to the JAGS working group</w:t>
      </w:r>
      <w:r w:rsidR="00163607">
        <w:t xml:space="preserve"> for clarification of </w:t>
      </w:r>
      <w:r w:rsidR="001B39CA">
        <w:t>S</w:t>
      </w:r>
      <w:r w:rsidR="00B47D06">
        <w:t>ection 301</w:t>
      </w:r>
      <w:r w:rsidR="005D0CB5">
        <w:t>. It was suggested to remove</w:t>
      </w:r>
      <w:r w:rsidR="00B47D06">
        <w:t xml:space="preserve"> standards and criteria and add “That had a </w:t>
      </w:r>
      <w:r w:rsidR="005D0CB5">
        <w:t xml:space="preserve">resulted in a </w:t>
      </w:r>
      <w:r w:rsidR="00B47D06">
        <w:t>negative retenti</w:t>
      </w:r>
      <w:r w:rsidR="005D0CB5">
        <w:t>on, tenure or promotion review.”</w:t>
      </w:r>
      <w:r w:rsidR="00D60808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817300" w:rsidRDefault="00337769" w:rsidP="0081730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Summer Session Update</w:t>
      </w:r>
      <w:r w:rsidR="00B32051">
        <w:t xml:space="preserve">: </w:t>
      </w:r>
      <w:r w:rsidR="007F0F48">
        <w:t>The funding model is being changed to encourage increased operations at the university</w:t>
      </w:r>
      <w:r w:rsidR="00423355">
        <w:t xml:space="preserve"> through the Departments/Colleges</w:t>
      </w:r>
      <w:r w:rsidR="007F0F48">
        <w:t xml:space="preserve">. </w:t>
      </w:r>
      <w:r w:rsidR="006E6B1D">
        <w:t>The model is a two ye</w:t>
      </w:r>
      <w:r w:rsidR="00007899">
        <w:t>ar model that will be revisited to include a review of internships/credits.</w:t>
      </w:r>
      <w:r w:rsidR="002D7910">
        <w:t xml:space="preserve"> </w:t>
      </w:r>
    </w:p>
    <w:p w:rsidR="006E7CF7" w:rsidRDefault="00337769" w:rsidP="00CB533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>Deans’ Retreat Dates and Venues</w:t>
      </w:r>
      <w:r w:rsidR="00950E85">
        <w:t>:</w:t>
      </w:r>
      <w:r w:rsidR="00431A0B">
        <w:t xml:space="preserve"> </w:t>
      </w:r>
      <w:r w:rsidR="00950E85">
        <w:t xml:space="preserve"> </w:t>
      </w:r>
      <w:r w:rsidR="00163607">
        <w:t>The dates have been set as August 12-13, 2015.  Several venue options were presented for consideration.</w:t>
      </w:r>
    </w:p>
    <w:p w:rsidR="00685611" w:rsidRDefault="00685611" w:rsidP="00CB533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GTA Tuition Waivers</w:t>
      </w:r>
      <w:r w:rsidR="001D277F">
        <w:t>: Graduate assignments were negotiated for a maximum number of hours to be 19 and a minimum stipend of $600/month for 19 hours per week.  There is an additional payment of $120 which is not prorated for less hours. Tuition waivers will also be granted based on number of credits.</w:t>
      </w: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</w:p>
    <w:p w:rsidR="006E7CF7" w:rsidRPr="006E7CF7" w:rsidRDefault="006E7CF7" w:rsidP="006E7CF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t>Reminder to submit requests for tenure track position</w:t>
      </w:r>
      <w:r w:rsidR="00163607">
        <w:t xml:space="preserve"> recruitment</w:t>
      </w:r>
      <w:r>
        <w:t xml:space="preserve"> by April 10</w:t>
      </w:r>
      <w:r w:rsidRPr="006E7CF7">
        <w:rPr>
          <w:vertAlign w:val="superscript"/>
        </w:rPr>
        <w:t>th</w:t>
      </w:r>
      <w:r>
        <w:t xml:space="preserve">. </w:t>
      </w:r>
    </w:p>
    <w:p w:rsidR="006E7CF7" w:rsidRPr="006E7CF7" w:rsidRDefault="006E7CF7" w:rsidP="006E7CF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t>Fund balances per college/department will be sent to each dean.</w:t>
      </w:r>
    </w:p>
    <w:p w:rsidR="006E7CF7" w:rsidRPr="00773246" w:rsidRDefault="006E7CF7" w:rsidP="006E7CF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t>Research initiative discussed.</w:t>
      </w:r>
    </w:p>
    <w:p w:rsidR="00337769" w:rsidRDefault="00337769" w:rsidP="001D6C4B">
      <w:pPr>
        <w:tabs>
          <w:tab w:val="left" w:pos="720"/>
        </w:tabs>
        <w:spacing w:after="120"/>
      </w:pP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337769">
        <w:t xml:space="preserve"> </w:t>
      </w:r>
      <w:r w:rsidR="006E7CF7">
        <w:t>3:05 p.m.</w:t>
      </w:r>
    </w:p>
    <w:p w:rsidR="006118B6" w:rsidRDefault="006118B6" w:rsidP="00885268">
      <w:pPr>
        <w:tabs>
          <w:tab w:val="left" w:pos="720"/>
        </w:tabs>
        <w:spacing w:after="120"/>
      </w:pP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April 14,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BE2E3D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5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29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22"/>
  </w:num>
  <w:num w:numId="27">
    <w:abstractNumId w:val="27"/>
  </w:num>
  <w:num w:numId="28">
    <w:abstractNumId w:val="23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4A2D"/>
    <w:rsid w:val="00054B8B"/>
    <w:rsid w:val="0006245C"/>
    <w:rsid w:val="0007088F"/>
    <w:rsid w:val="00075C28"/>
    <w:rsid w:val="000802ED"/>
    <w:rsid w:val="00081DB7"/>
    <w:rsid w:val="000826C9"/>
    <w:rsid w:val="000918D2"/>
    <w:rsid w:val="00095300"/>
    <w:rsid w:val="000A0D96"/>
    <w:rsid w:val="000A3FFF"/>
    <w:rsid w:val="000B0A9E"/>
    <w:rsid w:val="000B1533"/>
    <w:rsid w:val="000B2CE8"/>
    <w:rsid w:val="000B2F75"/>
    <w:rsid w:val="000C0B57"/>
    <w:rsid w:val="000C3B1A"/>
    <w:rsid w:val="000D1F6C"/>
    <w:rsid w:val="000E062A"/>
    <w:rsid w:val="000E2F44"/>
    <w:rsid w:val="000E6F32"/>
    <w:rsid w:val="000F0DFE"/>
    <w:rsid w:val="000F2BA1"/>
    <w:rsid w:val="000F4C4B"/>
    <w:rsid w:val="001106BC"/>
    <w:rsid w:val="001128AE"/>
    <w:rsid w:val="00114EE0"/>
    <w:rsid w:val="00121EBF"/>
    <w:rsid w:val="001271DD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717ED"/>
    <w:rsid w:val="00171846"/>
    <w:rsid w:val="0017465B"/>
    <w:rsid w:val="001770DB"/>
    <w:rsid w:val="0019412E"/>
    <w:rsid w:val="00194D61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328A"/>
    <w:rsid w:val="001E3BFA"/>
    <w:rsid w:val="001E5B15"/>
    <w:rsid w:val="001F173D"/>
    <w:rsid w:val="001F2F4D"/>
    <w:rsid w:val="0020592A"/>
    <w:rsid w:val="002063A8"/>
    <w:rsid w:val="0021046F"/>
    <w:rsid w:val="002240F8"/>
    <w:rsid w:val="0024429B"/>
    <w:rsid w:val="002522F4"/>
    <w:rsid w:val="00253885"/>
    <w:rsid w:val="00263CF7"/>
    <w:rsid w:val="00274736"/>
    <w:rsid w:val="00274F2D"/>
    <w:rsid w:val="002811B0"/>
    <w:rsid w:val="0028581C"/>
    <w:rsid w:val="002A2CFE"/>
    <w:rsid w:val="002A2EFD"/>
    <w:rsid w:val="002A455D"/>
    <w:rsid w:val="002B10AC"/>
    <w:rsid w:val="002B118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76F2"/>
    <w:rsid w:val="003755C1"/>
    <w:rsid w:val="003761CD"/>
    <w:rsid w:val="003763D1"/>
    <w:rsid w:val="00383776"/>
    <w:rsid w:val="00392641"/>
    <w:rsid w:val="00392E2E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E7609"/>
    <w:rsid w:val="00417E44"/>
    <w:rsid w:val="00420562"/>
    <w:rsid w:val="004208D3"/>
    <w:rsid w:val="00423355"/>
    <w:rsid w:val="0042445C"/>
    <w:rsid w:val="00430BC3"/>
    <w:rsid w:val="00431A0B"/>
    <w:rsid w:val="0044140D"/>
    <w:rsid w:val="00454165"/>
    <w:rsid w:val="0045460C"/>
    <w:rsid w:val="004546C1"/>
    <w:rsid w:val="00467E7F"/>
    <w:rsid w:val="00491AA7"/>
    <w:rsid w:val="004932CD"/>
    <w:rsid w:val="0049511C"/>
    <w:rsid w:val="004A2CEE"/>
    <w:rsid w:val="004B085A"/>
    <w:rsid w:val="004B0A67"/>
    <w:rsid w:val="004B2B6A"/>
    <w:rsid w:val="004B3D5F"/>
    <w:rsid w:val="004B71FE"/>
    <w:rsid w:val="004C00F7"/>
    <w:rsid w:val="004C052C"/>
    <w:rsid w:val="004C48B7"/>
    <w:rsid w:val="004C5614"/>
    <w:rsid w:val="004D4A5F"/>
    <w:rsid w:val="004D4CC7"/>
    <w:rsid w:val="004E330A"/>
    <w:rsid w:val="004E5915"/>
    <w:rsid w:val="004F127F"/>
    <w:rsid w:val="004F761E"/>
    <w:rsid w:val="0050059C"/>
    <w:rsid w:val="00502B29"/>
    <w:rsid w:val="005166E2"/>
    <w:rsid w:val="00536511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7272E"/>
    <w:rsid w:val="005731B7"/>
    <w:rsid w:val="005770A4"/>
    <w:rsid w:val="00581AF3"/>
    <w:rsid w:val="00582747"/>
    <w:rsid w:val="00585D36"/>
    <w:rsid w:val="00586D69"/>
    <w:rsid w:val="005A1BC6"/>
    <w:rsid w:val="005A3211"/>
    <w:rsid w:val="005A5AA0"/>
    <w:rsid w:val="005B591F"/>
    <w:rsid w:val="005B5EC4"/>
    <w:rsid w:val="005C33BB"/>
    <w:rsid w:val="005D0CB5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5611"/>
    <w:rsid w:val="00695B06"/>
    <w:rsid w:val="006A0E8A"/>
    <w:rsid w:val="006A3629"/>
    <w:rsid w:val="006A392B"/>
    <w:rsid w:val="006A48AA"/>
    <w:rsid w:val="006A523B"/>
    <w:rsid w:val="006B11A3"/>
    <w:rsid w:val="006B643D"/>
    <w:rsid w:val="006C3D1C"/>
    <w:rsid w:val="006C599D"/>
    <w:rsid w:val="006C5DB8"/>
    <w:rsid w:val="006C5E77"/>
    <w:rsid w:val="006D5BD3"/>
    <w:rsid w:val="006E6B1D"/>
    <w:rsid w:val="006E7CF7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76ED"/>
    <w:rsid w:val="00750B6F"/>
    <w:rsid w:val="00750BAD"/>
    <w:rsid w:val="007516B9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3246"/>
    <w:rsid w:val="0077423C"/>
    <w:rsid w:val="0078219C"/>
    <w:rsid w:val="007840F7"/>
    <w:rsid w:val="00784166"/>
    <w:rsid w:val="00784B62"/>
    <w:rsid w:val="00794549"/>
    <w:rsid w:val="007A54AE"/>
    <w:rsid w:val="007B6E95"/>
    <w:rsid w:val="007C21A5"/>
    <w:rsid w:val="007D33B2"/>
    <w:rsid w:val="007D54FA"/>
    <w:rsid w:val="007E0669"/>
    <w:rsid w:val="007E11C6"/>
    <w:rsid w:val="007E1641"/>
    <w:rsid w:val="007E5207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382B"/>
    <w:rsid w:val="00834E78"/>
    <w:rsid w:val="00835CA7"/>
    <w:rsid w:val="00840D6D"/>
    <w:rsid w:val="00847FDD"/>
    <w:rsid w:val="00867314"/>
    <w:rsid w:val="00873B7F"/>
    <w:rsid w:val="008842FB"/>
    <w:rsid w:val="00885268"/>
    <w:rsid w:val="00886E35"/>
    <w:rsid w:val="008923B4"/>
    <w:rsid w:val="008A239A"/>
    <w:rsid w:val="008B200C"/>
    <w:rsid w:val="008C15A0"/>
    <w:rsid w:val="008C6AB1"/>
    <w:rsid w:val="008C6BC4"/>
    <w:rsid w:val="008D38F4"/>
    <w:rsid w:val="008D686E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402F1"/>
    <w:rsid w:val="00946FC6"/>
    <w:rsid w:val="00950E85"/>
    <w:rsid w:val="009536E6"/>
    <w:rsid w:val="0095540F"/>
    <w:rsid w:val="00966442"/>
    <w:rsid w:val="0097025F"/>
    <w:rsid w:val="0097637A"/>
    <w:rsid w:val="00976A21"/>
    <w:rsid w:val="00995546"/>
    <w:rsid w:val="00997749"/>
    <w:rsid w:val="009A54AD"/>
    <w:rsid w:val="009B73CA"/>
    <w:rsid w:val="009C6CC5"/>
    <w:rsid w:val="009D713E"/>
    <w:rsid w:val="009D7A8C"/>
    <w:rsid w:val="009E2BEE"/>
    <w:rsid w:val="009E63F9"/>
    <w:rsid w:val="009F08F6"/>
    <w:rsid w:val="009F0CA3"/>
    <w:rsid w:val="009F6E32"/>
    <w:rsid w:val="00A07252"/>
    <w:rsid w:val="00A07E7E"/>
    <w:rsid w:val="00A07EDB"/>
    <w:rsid w:val="00A12303"/>
    <w:rsid w:val="00A140A5"/>
    <w:rsid w:val="00A14773"/>
    <w:rsid w:val="00A27CEC"/>
    <w:rsid w:val="00A31A73"/>
    <w:rsid w:val="00A3663B"/>
    <w:rsid w:val="00A40451"/>
    <w:rsid w:val="00A43035"/>
    <w:rsid w:val="00A46969"/>
    <w:rsid w:val="00A47016"/>
    <w:rsid w:val="00A51646"/>
    <w:rsid w:val="00A61900"/>
    <w:rsid w:val="00A70AB6"/>
    <w:rsid w:val="00A85913"/>
    <w:rsid w:val="00A915D1"/>
    <w:rsid w:val="00AA53EE"/>
    <w:rsid w:val="00AB26CF"/>
    <w:rsid w:val="00AC20BC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708D"/>
    <w:rsid w:val="00B00E21"/>
    <w:rsid w:val="00B01AF6"/>
    <w:rsid w:val="00B049CA"/>
    <w:rsid w:val="00B055D1"/>
    <w:rsid w:val="00B1274C"/>
    <w:rsid w:val="00B17D9E"/>
    <w:rsid w:val="00B21292"/>
    <w:rsid w:val="00B25F3D"/>
    <w:rsid w:val="00B32051"/>
    <w:rsid w:val="00B41125"/>
    <w:rsid w:val="00B47D06"/>
    <w:rsid w:val="00B551D0"/>
    <w:rsid w:val="00B72FF1"/>
    <w:rsid w:val="00B74CB0"/>
    <w:rsid w:val="00B8013E"/>
    <w:rsid w:val="00B856E8"/>
    <w:rsid w:val="00B90BD5"/>
    <w:rsid w:val="00B90D9C"/>
    <w:rsid w:val="00BA22EC"/>
    <w:rsid w:val="00BB3198"/>
    <w:rsid w:val="00BC0807"/>
    <w:rsid w:val="00BD04A7"/>
    <w:rsid w:val="00BD0F4F"/>
    <w:rsid w:val="00BE2E3D"/>
    <w:rsid w:val="00BE5DD1"/>
    <w:rsid w:val="00BF1983"/>
    <w:rsid w:val="00C1625F"/>
    <w:rsid w:val="00C20A7F"/>
    <w:rsid w:val="00C42C83"/>
    <w:rsid w:val="00C436DE"/>
    <w:rsid w:val="00C52F5E"/>
    <w:rsid w:val="00C60E2C"/>
    <w:rsid w:val="00C63E2E"/>
    <w:rsid w:val="00C67A36"/>
    <w:rsid w:val="00C708E0"/>
    <w:rsid w:val="00C7646F"/>
    <w:rsid w:val="00C83D2C"/>
    <w:rsid w:val="00C85430"/>
    <w:rsid w:val="00C85DE2"/>
    <w:rsid w:val="00CA2F4A"/>
    <w:rsid w:val="00CA47F8"/>
    <w:rsid w:val="00CA7A51"/>
    <w:rsid w:val="00CB111A"/>
    <w:rsid w:val="00CB3A8E"/>
    <w:rsid w:val="00CB5370"/>
    <w:rsid w:val="00CB7D32"/>
    <w:rsid w:val="00CC1443"/>
    <w:rsid w:val="00CC27EE"/>
    <w:rsid w:val="00CC3AFE"/>
    <w:rsid w:val="00CC72C9"/>
    <w:rsid w:val="00CD0112"/>
    <w:rsid w:val="00CD57C2"/>
    <w:rsid w:val="00CE4768"/>
    <w:rsid w:val="00CF01F0"/>
    <w:rsid w:val="00D016F5"/>
    <w:rsid w:val="00D07C21"/>
    <w:rsid w:val="00D15426"/>
    <w:rsid w:val="00D2104F"/>
    <w:rsid w:val="00D36B8B"/>
    <w:rsid w:val="00D54B0C"/>
    <w:rsid w:val="00D556CF"/>
    <w:rsid w:val="00D60808"/>
    <w:rsid w:val="00D6537A"/>
    <w:rsid w:val="00D726EB"/>
    <w:rsid w:val="00D85B6B"/>
    <w:rsid w:val="00D8644D"/>
    <w:rsid w:val="00D8765D"/>
    <w:rsid w:val="00DA04F4"/>
    <w:rsid w:val="00DA0540"/>
    <w:rsid w:val="00DA49B9"/>
    <w:rsid w:val="00DB3F83"/>
    <w:rsid w:val="00DB4F95"/>
    <w:rsid w:val="00DC7BED"/>
    <w:rsid w:val="00DD019B"/>
    <w:rsid w:val="00DD388A"/>
    <w:rsid w:val="00DE1661"/>
    <w:rsid w:val="00DE7AC6"/>
    <w:rsid w:val="00DF2C34"/>
    <w:rsid w:val="00DF5812"/>
    <w:rsid w:val="00E014C7"/>
    <w:rsid w:val="00E13E0A"/>
    <w:rsid w:val="00E15C64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80920"/>
    <w:rsid w:val="00E93D85"/>
    <w:rsid w:val="00E94273"/>
    <w:rsid w:val="00E9528E"/>
    <w:rsid w:val="00E96D35"/>
    <w:rsid w:val="00EA0338"/>
    <w:rsid w:val="00EB0534"/>
    <w:rsid w:val="00EB3D5F"/>
    <w:rsid w:val="00EB7DF7"/>
    <w:rsid w:val="00EC2960"/>
    <w:rsid w:val="00EC5AC5"/>
    <w:rsid w:val="00ED4293"/>
    <w:rsid w:val="00EE0672"/>
    <w:rsid w:val="00EE3EBC"/>
    <w:rsid w:val="00EE65FA"/>
    <w:rsid w:val="00EF1256"/>
    <w:rsid w:val="00F0131C"/>
    <w:rsid w:val="00F04EC3"/>
    <w:rsid w:val="00F07586"/>
    <w:rsid w:val="00F145B6"/>
    <w:rsid w:val="00F244FC"/>
    <w:rsid w:val="00F2551C"/>
    <w:rsid w:val="00F35BA9"/>
    <w:rsid w:val="00F42BCE"/>
    <w:rsid w:val="00F624E1"/>
    <w:rsid w:val="00F625CC"/>
    <w:rsid w:val="00F63390"/>
    <w:rsid w:val="00F67114"/>
    <w:rsid w:val="00F802D1"/>
    <w:rsid w:val="00F84634"/>
    <w:rsid w:val="00F876B8"/>
    <w:rsid w:val="00F94066"/>
    <w:rsid w:val="00F94147"/>
    <w:rsid w:val="00FA0459"/>
    <w:rsid w:val="00FA1DE1"/>
    <w:rsid w:val="00FA2D21"/>
    <w:rsid w:val="00FB67C8"/>
    <w:rsid w:val="00FD0FCC"/>
    <w:rsid w:val="00FD1E2E"/>
    <w:rsid w:val="00FD71A5"/>
    <w:rsid w:val="00FE0F0E"/>
    <w:rsid w:val="00FE60B5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6</cp:revision>
  <cp:lastPrinted>2015-02-12T21:21:00Z</cp:lastPrinted>
  <dcterms:created xsi:type="dcterms:W3CDTF">2015-03-19T15:45:00Z</dcterms:created>
  <dcterms:modified xsi:type="dcterms:W3CDTF">2015-03-25T22:24:00Z</dcterms:modified>
</cp:coreProperties>
</file>